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盐碱地治理水利工程技术规程</w:t>
      </w:r>
    </w:p>
    <w:p>
      <w:pPr>
        <w:widowControl/>
        <w:jc w:val="center"/>
        <w:rPr>
          <w:rFonts w:hint="eastAsia" w:ascii="方正小标宋_GBK" w:hAnsi="方正小标宋_GBK" w:eastAsia="方正小标宋_GBK" w:cs="方正小标宋_GBK"/>
          <w:color w:val="000000"/>
          <w:kern w:val="0"/>
          <w:sz w:val="43"/>
          <w:szCs w:val="43"/>
        </w:rPr>
      </w:pPr>
      <w:r>
        <w:rPr>
          <w:rFonts w:hint="eastAsia" w:ascii="方正小标宋_GBK" w:hAnsi="方正小标宋_GBK" w:eastAsia="方正小标宋_GBK" w:cs="方正小标宋_GBK"/>
          <w:sz w:val="44"/>
          <w:szCs w:val="44"/>
          <w:lang w:val="en-US" w:eastAsia="zh-CN"/>
        </w:rPr>
        <w:t>第1部分：暗管排水</w:t>
      </w: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r>
        <w:rPr>
          <w:rFonts w:hint="eastAsia" w:ascii="方正小标宋_GBK" w:hAnsi="方正小标宋_GBK" w:eastAsia="方正小标宋_GBK" w:cs="方正小标宋_GBK"/>
          <w:color w:val="000000"/>
          <w:kern w:val="0"/>
          <w:sz w:val="43"/>
          <w:szCs w:val="43"/>
        </w:rPr>
        <w:t>编制说明</w:t>
      </w: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p>
    <w:p>
      <w:pPr>
        <w:widowControl/>
        <w:rPr>
          <w:rFonts w:hint="eastAsia" w:ascii="方正小标宋_GBK" w:hAnsi="方正小标宋_GBK" w:eastAsia="方正小标宋_GBK" w:cs="方正小标宋_GBK"/>
          <w:color w:val="000000"/>
          <w:kern w:val="0"/>
          <w:sz w:val="43"/>
          <w:szCs w:val="43"/>
        </w:rPr>
      </w:pPr>
    </w:p>
    <w:p>
      <w:pPr>
        <w:widowControl/>
        <w:jc w:val="center"/>
        <w:rPr>
          <w:rFonts w:hint="eastAsia" w:ascii="方正小标宋_GBK" w:hAnsi="方正小标宋_GBK" w:eastAsia="方正小标宋_GBK" w:cs="方正小标宋_GBK"/>
          <w:color w:val="000000"/>
          <w:kern w:val="0"/>
          <w:sz w:val="43"/>
          <w:szCs w:val="43"/>
        </w:rPr>
      </w:pPr>
      <w:r>
        <w:rPr>
          <w:rFonts w:hint="eastAsia" w:ascii="方正小标宋_GBK" w:hAnsi="方正小标宋_GBK" w:eastAsia="方正小标宋_GBK" w:cs="方正小标宋_GBK"/>
          <w:color w:val="000000"/>
          <w:kern w:val="0"/>
          <w:sz w:val="43"/>
          <w:szCs w:val="43"/>
        </w:rPr>
        <w:t>2026年 1 月</w:t>
      </w:r>
    </w:p>
    <w:p>
      <w:pPr>
        <w:widowControl/>
        <w:spacing w:line="600" w:lineRule="exact"/>
        <w:jc w:val="left"/>
        <w:rPr>
          <w:rFonts w:hint="eastAsia" w:ascii="宋体" w:hAnsi="宋体" w:eastAsia="宋体" w:cs="宋体"/>
          <w:b/>
          <w:bCs/>
          <w:color w:val="000000"/>
          <w:kern w:val="0"/>
          <w:sz w:val="43"/>
          <w:szCs w:val="43"/>
        </w:rPr>
      </w:pPr>
    </w:p>
    <w:p>
      <w:pPr>
        <w:widowControl/>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kern w:val="0"/>
          <w:sz w:val="44"/>
          <w:szCs w:val="44"/>
        </w:rPr>
        <w:t>目  次</w:t>
      </w:r>
    </w:p>
    <w:p>
      <w:pPr>
        <w:widowControl/>
        <w:spacing w:line="600" w:lineRule="exact"/>
        <w:jc w:val="left"/>
        <w:rPr>
          <w:rFonts w:hint="eastAsia" w:ascii="宋体" w:hAnsi="宋体" w:eastAsia="宋体" w:cs="宋体"/>
          <w:color w:val="000000"/>
          <w:kern w:val="0"/>
          <w:sz w:val="31"/>
          <w:szCs w:val="31"/>
        </w:rPr>
      </w:pPr>
    </w:p>
    <w:p>
      <w:pPr>
        <w:widowControl/>
        <w:spacing w:line="6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一、工作简况</w:t>
      </w:r>
    </w:p>
    <w:p>
      <w:pPr>
        <w:widowControl/>
        <w:spacing w:line="60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二、制订标准的必要性和意义</w:t>
      </w:r>
    </w:p>
    <w:p>
      <w:pPr>
        <w:widowControl/>
        <w:spacing w:line="60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三、主要起草过程</w:t>
      </w:r>
    </w:p>
    <w:p>
      <w:pPr>
        <w:widowControl/>
        <w:spacing w:line="600" w:lineRule="exact"/>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color w:val="000000"/>
          <w:spacing w:val="-8"/>
          <w:kern w:val="0"/>
          <w:sz w:val="32"/>
          <w:szCs w:val="32"/>
        </w:rPr>
        <w:t>四、制订标准的原则和依据，与现行法律、法规、标准的关系</w:t>
      </w:r>
    </w:p>
    <w:p>
      <w:pPr>
        <w:widowControl/>
        <w:spacing w:line="600" w:lineRule="exact"/>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color w:val="000000"/>
          <w:spacing w:val="-8"/>
          <w:kern w:val="0"/>
          <w:sz w:val="32"/>
          <w:szCs w:val="32"/>
        </w:rPr>
        <w:t>五、主要条款的说明，主要技术指标、参数、实验验证的论述</w:t>
      </w:r>
    </w:p>
    <w:p>
      <w:pPr>
        <w:widowControl/>
        <w:spacing w:line="60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六、重大意见分歧的处理依据和结果 </w:t>
      </w:r>
    </w:p>
    <w:p>
      <w:pPr>
        <w:widowControl/>
        <w:spacing w:line="60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七、实施标准的措施及建议 </w:t>
      </w:r>
    </w:p>
    <w:p>
      <w:pPr>
        <w:widowControl/>
        <w:spacing w:line="6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八、知识产权说明</w:t>
      </w:r>
    </w:p>
    <w:p>
      <w:pPr>
        <w:widowControl/>
        <w:spacing w:line="6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九、其他应予说明的事项 </w:t>
      </w: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color w:val="000000"/>
          <w:kern w:val="0"/>
          <w:sz w:val="32"/>
          <w:szCs w:val="32"/>
        </w:rPr>
      </w:pPr>
    </w:p>
    <w:p>
      <w:pPr>
        <w:widowControl/>
        <w:spacing w:line="600" w:lineRule="exact"/>
        <w:jc w:val="left"/>
        <w:rPr>
          <w:rFonts w:hint="eastAsia" w:ascii="仿宋_GB2312" w:hAnsi="仿宋_GB2312" w:eastAsia="仿宋_GB2312" w:cs="仿宋_GB2312"/>
          <w:sz w:val="32"/>
          <w:szCs w:val="32"/>
        </w:rPr>
        <w:sectPr>
          <w:footerReference r:id="rId3" w:type="default"/>
          <w:pgSz w:w="11906" w:h="16838"/>
          <w:pgMar w:top="1440" w:right="1800" w:bottom="1440" w:left="1800" w:header="851" w:footer="992" w:gutter="0"/>
          <w:pgNumType w:start="1"/>
          <w:cols w:space="720" w:num="1"/>
          <w:docGrid w:type="lines" w:linePitch="312" w:charSpace="0"/>
        </w:sectPr>
      </w:pPr>
    </w:p>
    <w:p>
      <w:pPr>
        <w:pStyle w:val="7"/>
        <w:spacing w:line="560" w:lineRule="exact"/>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bCs w:val="0"/>
          <w:sz w:val="44"/>
          <w:szCs w:val="44"/>
        </w:rPr>
        <w:t>《</w:t>
      </w:r>
      <w:r>
        <w:rPr>
          <w:rFonts w:hint="eastAsia" w:ascii="方正小标宋_GBK" w:hAnsi="方正小标宋_GBK" w:eastAsia="方正小标宋_GBK" w:cs="方正小标宋_GBK"/>
          <w:b w:val="0"/>
          <w:bCs w:val="0"/>
          <w:sz w:val="44"/>
          <w:szCs w:val="44"/>
          <w:lang w:val="en-US" w:eastAsia="zh-CN"/>
        </w:rPr>
        <w:t>盐碱地治理水利工程技术规程第1部分：暗管排水》</w:t>
      </w:r>
      <w:r>
        <w:rPr>
          <w:rFonts w:hint="eastAsia" w:ascii="方正小标宋_GBK" w:hAnsi="方正小标宋_GBK" w:eastAsia="方正小标宋_GBK" w:cs="方正小标宋_GBK"/>
          <w:b w:val="0"/>
          <w:bCs w:val="0"/>
          <w:sz w:val="44"/>
          <w:szCs w:val="44"/>
        </w:rPr>
        <w:t>地方标准编制说明</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一、工作简况</w:t>
      </w:r>
    </w:p>
    <w:p>
      <w:pPr>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（一）任务来源</w:t>
      </w:r>
    </w:p>
    <w:p>
      <w:pPr>
        <w:spacing w:line="56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rPr>
        <w:t>5年6月17日，按照《自治区市场监管厅关于下达</w:t>
      </w:r>
      <w:r>
        <w:rPr>
          <w:rFonts w:ascii="仿宋_GB2312" w:hAnsi="仿宋_GB2312" w:eastAsia="仿宋_GB2312" w:cs="仿宋_GB2312"/>
          <w:sz w:val="32"/>
          <w:szCs w:val="32"/>
        </w:rPr>
        <w:t>2025</w:t>
      </w:r>
      <w:r>
        <w:rPr>
          <w:rFonts w:hint="eastAsia" w:ascii="仿宋_GB2312" w:hAnsi="仿宋_GB2312" w:eastAsia="仿宋_GB2312" w:cs="仿宋_GB2312"/>
          <w:sz w:val="32"/>
          <w:szCs w:val="32"/>
        </w:rPr>
        <w:t>年地方标准制（修）订计划的通知》要求，自治区市场监管厅已将《盐碱地治理水利工程技术规程 第1部分：暗管排水》等14项地方标准列为2025年地方标准制（修）订计划。针对</w:t>
      </w:r>
      <w:r>
        <w:rPr>
          <w:rFonts w:hint="eastAsia" w:ascii="仿宋_GB2312" w:hAnsi="仿宋_GB2312" w:eastAsia="仿宋_GB2312" w:cs="仿宋_GB2312"/>
          <w:sz w:val="32"/>
          <w:szCs w:val="32"/>
          <w:lang w:val="en-US" w:eastAsia="zh-CN"/>
        </w:rPr>
        <w:t>宁夏盐碱地治理</w:t>
      </w:r>
      <w:r>
        <w:rPr>
          <w:rFonts w:hint="eastAsia" w:ascii="仿宋_GB2312" w:hAnsi="仿宋_GB2312" w:eastAsia="仿宋_GB2312" w:cs="仿宋_GB2312"/>
          <w:sz w:val="32"/>
          <w:szCs w:val="32"/>
          <w:highlight w:val="none"/>
        </w:rPr>
        <w:t>中</w:t>
      </w:r>
      <w:r>
        <w:rPr>
          <w:rFonts w:hint="eastAsia" w:ascii="仿宋_GB2312" w:hAnsi="仿宋_GB2312" w:eastAsia="仿宋_GB2312" w:cs="仿宋_GB2312"/>
          <w:sz w:val="32"/>
          <w:szCs w:val="32"/>
          <w:highlight w:val="none"/>
          <w:lang w:val="en-US" w:eastAsia="zh-CN"/>
        </w:rPr>
        <w:t>暗管排水技术存在的工程规划不统一、设计标准低、施工质量差、运行管理不完善等</w:t>
      </w:r>
      <w:r>
        <w:rPr>
          <w:rFonts w:hint="eastAsia" w:ascii="仿宋_GB2312" w:hAnsi="仿宋_GB2312" w:eastAsia="仿宋_GB2312" w:cs="仿宋_GB2312"/>
          <w:sz w:val="32"/>
          <w:szCs w:val="32"/>
          <w:highlight w:val="none"/>
        </w:rPr>
        <w:t>问题，依据</w:t>
      </w:r>
      <w:r>
        <w:rPr>
          <w:rFonts w:hint="eastAsia" w:ascii="仿宋_GB2312" w:hAnsi="仿宋_GB2312" w:eastAsia="仿宋_GB2312" w:cs="仿宋_GB2312"/>
          <w:sz w:val="32"/>
          <w:szCs w:val="32"/>
          <w:highlight w:val="none"/>
          <w:lang w:eastAsia="zh-CN"/>
        </w:rPr>
        <w:t>宁夏</w:t>
      </w:r>
      <w:r>
        <w:rPr>
          <w:rFonts w:hint="eastAsia" w:ascii="仿宋_GB2312" w:hAnsi="仿宋_GB2312" w:eastAsia="仿宋_GB2312" w:cs="仿宋_GB2312"/>
          <w:sz w:val="32"/>
          <w:szCs w:val="32"/>
          <w:highlight w:val="none"/>
          <w:lang w:val="en-US" w:eastAsia="zh-CN"/>
        </w:rPr>
        <w:t>农业部门多年</w:t>
      </w:r>
      <w:r>
        <w:rPr>
          <w:rFonts w:hint="eastAsia" w:ascii="仿宋_GB2312" w:hAnsi="仿宋_GB2312" w:eastAsia="仿宋_GB2312" w:cs="仿宋_GB2312"/>
          <w:sz w:val="32"/>
          <w:szCs w:val="32"/>
          <w:highlight w:val="none"/>
        </w:rPr>
        <w:t>来开展的</w:t>
      </w:r>
      <w:r>
        <w:rPr>
          <w:rFonts w:hint="eastAsia" w:ascii="仿宋_GB2312" w:hAnsi="仿宋_GB2312" w:eastAsia="仿宋_GB2312" w:cs="仿宋_GB2312"/>
          <w:sz w:val="32"/>
          <w:szCs w:val="32"/>
          <w:highlight w:val="none"/>
          <w:lang w:val="en-US" w:eastAsia="zh-CN"/>
        </w:rPr>
        <w:t>农田暗管排水技术的研究、试验与大量工程实践经验，</w:t>
      </w:r>
      <w:r>
        <w:rPr>
          <w:rFonts w:hint="eastAsia" w:ascii="仿宋_GB2312" w:hAnsi="仿宋_GB2312" w:eastAsia="仿宋_GB2312" w:cs="仿宋_GB2312"/>
          <w:sz w:val="32"/>
          <w:szCs w:val="32"/>
          <w:highlight w:val="none"/>
        </w:rPr>
        <w:t>确定了</w:t>
      </w:r>
      <w:r>
        <w:rPr>
          <w:rFonts w:hint="eastAsia" w:ascii="仿宋_GB2312" w:hAnsi="仿宋_GB2312" w:eastAsia="仿宋_GB2312" w:cs="仿宋_GB2312"/>
          <w:sz w:val="32"/>
          <w:szCs w:val="32"/>
          <w:highlight w:val="none"/>
          <w:lang w:val="en-US" w:eastAsia="zh-CN"/>
        </w:rPr>
        <w:t>盐碱地治理中暗管排水工程规划、设计、施工及运行管理等环节的</w:t>
      </w:r>
      <w:r>
        <w:rPr>
          <w:rFonts w:hint="eastAsia" w:ascii="仿宋_GB2312" w:hAnsi="仿宋_GB2312" w:eastAsia="仿宋_GB2312" w:cs="仿宋_GB2312"/>
          <w:sz w:val="32"/>
          <w:szCs w:val="32"/>
          <w:highlight w:val="none"/>
        </w:rPr>
        <w:t>相关技术指标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工法和质量要求</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编制《</w:t>
      </w:r>
      <w:r>
        <w:rPr>
          <w:rFonts w:hint="eastAsia" w:ascii="仿宋_GB2312" w:hAnsi="仿宋_GB2312" w:eastAsia="仿宋_GB2312" w:cs="仿宋_GB2312"/>
          <w:sz w:val="32"/>
          <w:szCs w:val="32"/>
          <w:lang w:val="en-US" w:eastAsia="zh-CN"/>
        </w:rPr>
        <w:t>盐碱地治理水利工程技术规程 第1部分：暗管排水》</w:t>
      </w:r>
      <w:r>
        <w:rPr>
          <w:rFonts w:hint="eastAsia" w:ascii="仿宋_GB2312" w:hAnsi="仿宋_GB2312" w:eastAsia="仿宋_GB2312" w:cs="仿宋_GB2312"/>
          <w:sz w:val="32"/>
          <w:szCs w:val="32"/>
        </w:rPr>
        <w:t>地方标准，标准由宁夏回族自治区农业农村厅提出、归口并实施。</w:t>
      </w:r>
    </w:p>
    <w:p>
      <w:pPr>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（二）起草单位</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本标准制订项目承担单位为：宁夏回族自治区</w:t>
      </w:r>
      <w:r>
        <w:rPr>
          <w:rFonts w:hint="eastAsia" w:ascii="仿宋_GB2312" w:hAnsi="仿宋_GB2312" w:eastAsia="仿宋_GB2312" w:cs="仿宋_GB2312"/>
          <w:sz w:val="32"/>
          <w:szCs w:val="32"/>
          <w:highlight w:val="none"/>
          <w:lang w:val="en-US" w:eastAsia="zh-CN"/>
        </w:rPr>
        <w:t>农业综合开发中心、宁夏大学</w:t>
      </w:r>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参与单位为：</w:t>
      </w:r>
      <w:bookmarkStart w:id="0" w:name="_Hlk219989895"/>
      <w:r>
        <w:rPr>
          <w:rFonts w:hint="eastAsia" w:ascii="仿宋_GB2312" w:hAnsi="仿宋_GB2312" w:eastAsia="仿宋_GB2312" w:cs="仿宋_GB2312"/>
          <w:sz w:val="32"/>
          <w:szCs w:val="32"/>
          <w:highlight w:val="none"/>
          <w:lang w:val="en-US" w:eastAsia="zh-CN"/>
        </w:rPr>
        <w:t>宁夏大学土木与水利工程学院、</w:t>
      </w:r>
      <w:r>
        <w:rPr>
          <w:rFonts w:hint="eastAsia" w:ascii="仿宋_GB2312" w:hAnsi="仿宋_GB2312" w:eastAsia="仿宋_GB2312" w:cs="仿宋_GB2312"/>
          <w:sz w:val="32"/>
          <w:szCs w:val="32"/>
          <w:highlight w:val="none"/>
        </w:rPr>
        <w:t>宁夏回族自治区</w:t>
      </w:r>
      <w:r>
        <w:rPr>
          <w:rFonts w:hint="eastAsia" w:ascii="仿宋_GB2312" w:hAnsi="仿宋_GB2312" w:eastAsia="仿宋_GB2312" w:cs="仿宋_GB2312"/>
          <w:sz w:val="32"/>
          <w:szCs w:val="32"/>
          <w:highlight w:val="none"/>
          <w:lang w:val="en-US" w:eastAsia="zh-CN"/>
        </w:rPr>
        <w:t>农业综合开发中心有关科室</w:t>
      </w:r>
      <w:bookmarkEnd w:id="0"/>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协作</w:t>
      </w:r>
      <w:r>
        <w:rPr>
          <w:rFonts w:ascii="仿宋_GB2312" w:hAnsi="仿宋_GB2312" w:eastAsia="仿宋_GB2312" w:cs="仿宋_GB2312"/>
          <w:sz w:val="32"/>
          <w:szCs w:val="32"/>
          <w:highlight w:val="none"/>
        </w:rPr>
        <w:t>单位</w:t>
      </w:r>
      <w:r>
        <w:rPr>
          <w:rFonts w:hint="eastAsia" w:ascii="仿宋_GB2312" w:hAnsi="仿宋_GB2312" w:eastAsia="仿宋_GB2312" w:cs="仿宋_GB2312"/>
          <w:sz w:val="32"/>
          <w:szCs w:val="32"/>
          <w:highlight w:val="none"/>
        </w:rPr>
        <w:t>为</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宁夏回族自治区</w:t>
      </w:r>
      <w:r>
        <w:rPr>
          <w:rFonts w:hint="eastAsia" w:ascii="仿宋_GB2312" w:hAnsi="仿宋_GB2312" w:eastAsia="仿宋_GB2312" w:cs="仿宋_GB2312"/>
          <w:sz w:val="32"/>
          <w:szCs w:val="32"/>
          <w:highlight w:val="none"/>
          <w:lang w:val="en-US" w:eastAsia="zh-CN"/>
        </w:rPr>
        <w:t>农业综合开发中心县市有关分支机构</w:t>
      </w:r>
      <w:r>
        <w:rPr>
          <w:rFonts w:hint="eastAsia" w:ascii="仿宋_GB2312" w:hAnsi="仿宋_GB2312" w:eastAsia="仿宋_GB2312" w:cs="仿宋_GB2312"/>
          <w:sz w:val="32"/>
          <w:szCs w:val="32"/>
          <w:highlight w:val="none"/>
        </w:rPr>
        <w:t>。</w:t>
      </w:r>
    </w:p>
    <w:p>
      <w:pPr>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（三）主要</w:t>
      </w:r>
      <w:r>
        <w:rPr>
          <w:rFonts w:ascii="楷体" w:hAnsi="楷体" w:eastAsia="楷体" w:cs="楷体"/>
          <w:b/>
          <w:bCs/>
          <w:sz w:val="32"/>
          <w:szCs w:val="32"/>
        </w:rPr>
        <w:t>起草人</w:t>
      </w:r>
      <w:r>
        <w:rPr>
          <w:rFonts w:hint="eastAsia" w:ascii="楷体" w:hAnsi="楷体" w:eastAsia="楷体" w:cs="楷体"/>
          <w:b/>
          <w:bCs/>
          <w:sz w:val="32"/>
          <w:szCs w:val="32"/>
        </w:rPr>
        <w:t>及分工</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主要起草人：</w:t>
      </w:r>
      <w:r>
        <w:rPr>
          <w:rFonts w:hint="eastAsia" w:ascii="仿宋_GB2312" w:hAnsi="仿宋_GB2312" w:eastAsia="仿宋_GB2312" w:cs="仿宋_GB2312"/>
          <w:sz w:val="32"/>
          <w:szCs w:val="32"/>
          <w:highlight w:val="none"/>
          <w:lang w:val="en-US" w:eastAsia="zh-CN"/>
        </w:rPr>
        <w:t>韦伟、</w:t>
      </w:r>
      <w:r>
        <w:rPr>
          <w:rFonts w:hint="eastAsia" w:ascii="仿宋_GB2312" w:hAnsi="仿宋_GB2312" w:eastAsia="仿宋_GB2312" w:cs="仿宋_GB2312"/>
          <w:sz w:val="32"/>
          <w:szCs w:val="32"/>
          <w:highlight w:val="none"/>
        </w:rPr>
        <w:t>王红雨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吴昊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王思成</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孙立峰、</w:t>
      </w:r>
      <w:r>
        <w:rPr>
          <w:rFonts w:hint="eastAsia" w:ascii="仿宋_GB2312" w:hAnsi="仿宋_GB2312" w:eastAsia="仿宋_GB2312" w:cs="仿宋_GB2312"/>
          <w:sz w:val="32"/>
          <w:szCs w:val="32"/>
          <w:highlight w:val="none"/>
        </w:rPr>
        <w:t>王建锋</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张轩硕、王景辉、</w:t>
      </w:r>
      <w:r>
        <w:rPr>
          <w:rFonts w:hint="eastAsia" w:ascii="仿宋_GB2312" w:hAnsi="仿宋_GB2312" w:eastAsia="仿宋_GB2312" w:cs="仿宋_GB2312"/>
          <w:sz w:val="32"/>
          <w:szCs w:val="32"/>
          <w:highlight w:val="none"/>
        </w:rPr>
        <w:t>刘燕茹、李停锋、王亚、曹静、杨文娜、李云、杨洁、白岩、吴焜玥、肖庆红、王玮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麦文慧、李娟娟</w:t>
      </w:r>
      <w:r>
        <w:rPr>
          <w:rFonts w:hint="eastAsia" w:ascii="仿宋_GB2312" w:hAnsi="仿宋_GB2312" w:eastAsia="仿宋_GB2312" w:cs="仿宋_GB2312"/>
          <w:sz w:val="32"/>
          <w:szCs w:val="32"/>
          <w:highlight w:val="none"/>
        </w:rPr>
        <w:t>。</w:t>
      </w:r>
    </w:p>
    <w:p>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分工：</w:t>
      </w:r>
      <w:r>
        <w:rPr>
          <w:rFonts w:hint="eastAsia" w:ascii="仿宋_GB2312" w:hAnsi="仿宋_GB2312" w:eastAsia="仿宋_GB2312" w:cs="仿宋_GB2312"/>
          <w:sz w:val="32"/>
          <w:szCs w:val="32"/>
          <w:highlight w:val="none"/>
          <w:lang w:val="en-US" w:eastAsia="zh-CN"/>
        </w:rPr>
        <w:t>韦伟负责标准的提出与论证，项目的统筹、组织与协调；</w:t>
      </w:r>
      <w:r>
        <w:rPr>
          <w:rFonts w:hint="eastAsia" w:ascii="仿宋_GB2312" w:hAnsi="仿宋_GB2312" w:eastAsia="仿宋_GB2312" w:cs="仿宋_GB2312"/>
          <w:sz w:val="32"/>
          <w:szCs w:val="32"/>
          <w:highlight w:val="none"/>
        </w:rPr>
        <w:t>王红雨主要</w:t>
      </w:r>
      <w:r>
        <w:rPr>
          <w:rFonts w:hint="eastAsia" w:ascii="仿宋_GB2312" w:hAnsi="仿宋_GB2312" w:eastAsia="仿宋_GB2312" w:cs="仿宋_GB2312"/>
          <w:sz w:val="32"/>
          <w:szCs w:val="32"/>
          <w:highlight w:val="none"/>
          <w:lang w:val="en-US" w:eastAsia="zh-CN"/>
        </w:rPr>
        <w:t>负责暗管排水</w:t>
      </w:r>
      <w:r>
        <w:rPr>
          <w:rFonts w:hint="eastAsia" w:ascii="仿宋_GB2312" w:hAnsi="仿宋_GB2312" w:eastAsia="仿宋_GB2312" w:cs="仿宋_GB2312"/>
          <w:sz w:val="32"/>
          <w:szCs w:val="32"/>
          <w:highlight w:val="none"/>
        </w:rPr>
        <w:t>技术</w:t>
      </w:r>
      <w:r>
        <w:rPr>
          <w:rFonts w:hint="eastAsia" w:ascii="仿宋_GB2312" w:hAnsi="仿宋_GB2312" w:eastAsia="仿宋_GB2312" w:cs="仿宋_GB2312"/>
          <w:sz w:val="32"/>
          <w:szCs w:val="32"/>
          <w:highlight w:val="none"/>
          <w:lang w:val="en-US" w:eastAsia="zh-CN"/>
        </w:rPr>
        <w:t>规程编制工作的大纲制定、各章节的规划、起草与撰写，标准文稿修改与总编辑等工作；</w:t>
      </w:r>
      <w:r>
        <w:rPr>
          <w:rFonts w:hint="eastAsia" w:ascii="仿宋_GB2312" w:hAnsi="仿宋_GB2312" w:eastAsia="仿宋_GB2312" w:cs="仿宋_GB2312"/>
          <w:sz w:val="32"/>
          <w:szCs w:val="32"/>
          <w:highlight w:val="none"/>
        </w:rPr>
        <w:t>吴昊</w:t>
      </w:r>
      <w:r>
        <w:rPr>
          <w:rFonts w:hint="eastAsia" w:ascii="仿宋_GB2312" w:hAnsi="仿宋_GB2312" w:eastAsia="仿宋_GB2312" w:cs="仿宋_GB2312"/>
          <w:sz w:val="32"/>
          <w:szCs w:val="32"/>
          <w:highlight w:val="none"/>
          <w:lang w:val="en-US" w:eastAsia="zh-CN"/>
        </w:rPr>
        <w:t>负责技术规程编制工作的具体协调、联络并全程参与大纲制定、技术指标的确定、各章节内容审核等工作；</w:t>
      </w:r>
      <w:r>
        <w:rPr>
          <w:rFonts w:hint="eastAsia" w:ascii="仿宋_GB2312" w:hAnsi="仿宋_GB2312" w:eastAsia="仿宋_GB2312" w:cs="仿宋_GB2312"/>
          <w:sz w:val="32"/>
          <w:szCs w:val="32"/>
          <w:highlight w:val="none"/>
        </w:rPr>
        <w:t>王思成</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孙立峰、</w:t>
      </w:r>
      <w:r>
        <w:rPr>
          <w:rFonts w:hint="eastAsia" w:ascii="仿宋_GB2312" w:hAnsi="仿宋_GB2312" w:eastAsia="仿宋_GB2312" w:cs="仿宋_GB2312"/>
          <w:sz w:val="32"/>
          <w:szCs w:val="32"/>
          <w:highlight w:val="none"/>
        </w:rPr>
        <w:t>王建锋</w:t>
      </w:r>
      <w:r>
        <w:rPr>
          <w:rFonts w:hint="eastAsia" w:ascii="仿宋_GB2312" w:hAnsi="仿宋_GB2312" w:eastAsia="仿宋_GB2312" w:cs="仿宋_GB2312"/>
          <w:sz w:val="32"/>
          <w:szCs w:val="32"/>
          <w:highlight w:val="none"/>
          <w:lang w:val="en-US" w:eastAsia="zh-CN"/>
        </w:rPr>
        <w:t>等为主要</w:t>
      </w:r>
      <w:r>
        <w:rPr>
          <w:rFonts w:hint="eastAsia" w:ascii="仿宋_GB2312" w:hAnsi="仿宋_GB2312" w:eastAsia="仿宋_GB2312" w:cs="仿宋_GB2312"/>
          <w:sz w:val="32"/>
          <w:szCs w:val="32"/>
          <w:highlight w:val="none"/>
        </w:rPr>
        <w:t>参与</w:t>
      </w:r>
      <w:r>
        <w:rPr>
          <w:rFonts w:hint="eastAsia" w:ascii="仿宋_GB2312" w:hAnsi="仿宋_GB2312" w:eastAsia="仿宋_GB2312" w:cs="仿宋_GB2312"/>
          <w:sz w:val="32"/>
          <w:szCs w:val="32"/>
          <w:highlight w:val="none"/>
          <w:lang w:val="en-US" w:eastAsia="zh-CN"/>
        </w:rPr>
        <w:t>人，全程参与</w:t>
      </w:r>
      <w:r>
        <w:rPr>
          <w:rFonts w:hint="default" w:ascii="仿宋_GB2312" w:hAnsi="仿宋_GB2312" w:eastAsia="仿宋_GB2312" w:cs="仿宋_GB2312"/>
          <w:sz w:val="32"/>
          <w:szCs w:val="32"/>
          <w:highlight w:val="none"/>
          <w:lang w:eastAsia="zh-CN"/>
        </w:rPr>
        <w:t>本规</w:t>
      </w:r>
      <w:r>
        <w:rPr>
          <w:rFonts w:hint="eastAsia" w:ascii="仿宋_GB2312" w:hAnsi="仿宋_GB2312" w:eastAsia="仿宋_GB2312" w:cs="仿宋_GB2312"/>
          <w:sz w:val="32"/>
          <w:szCs w:val="32"/>
          <w:highlight w:val="none"/>
          <w:lang w:val="en-US" w:eastAsia="zh-CN"/>
        </w:rPr>
        <w:t>程的</w:t>
      </w:r>
      <w:r>
        <w:rPr>
          <w:rFonts w:hint="eastAsia" w:ascii="仿宋_GB2312" w:hAnsi="仿宋_GB2312" w:eastAsia="仿宋_GB2312" w:cs="仿宋_GB2312"/>
          <w:sz w:val="32"/>
          <w:szCs w:val="32"/>
          <w:highlight w:val="none"/>
        </w:rPr>
        <w:t>调研</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起草和修改</w:t>
      </w:r>
      <w:r>
        <w:rPr>
          <w:rFonts w:hint="eastAsia" w:ascii="仿宋_GB2312" w:hAnsi="仿宋_GB2312" w:eastAsia="仿宋_GB2312" w:cs="仿宋_GB2312"/>
          <w:sz w:val="32"/>
          <w:szCs w:val="32"/>
          <w:highlight w:val="none"/>
          <w:lang w:val="en-US" w:eastAsia="zh-CN"/>
        </w:rPr>
        <w:t>完善以及专题报告、技术指标确定等</w:t>
      </w:r>
      <w:r>
        <w:rPr>
          <w:rFonts w:hint="eastAsia" w:ascii="仿宋_GB2312" w:hAnsi="仿宋_GB2312" w:eastAsia="仿宋_GB2312" w:cs="仿宋_GB2312"/>
          <w:sz w:val="32"/>
          <w:szCs w:val="32"/>
          <w:highlight w:val="none"/>
        </w:rPr>
        <w:t>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张轩硕、王景辉负责文字编辑、图表绘制、格式调整、修改等工作；</w:t>
      </w:r>
      <w:r>
        <w:rPr>
          <w:rFonts w:hint="eastAsia" w:ascii="仿宋_GB2312" w:hAnsi="仿宋_GB2312" w:eastAsia="仿宋_GB2312" w:cs="仿宋_GB2312"/>
          <w:sz w:val="32"/>
          <w:szCs w:val="32"/>
          <w:highlight w:val="none"/>
        </w:rPr>
        <w:t>刘燕茹、李停锋、王亚、曹静、杨文娜、李云、杨洁、白岩、吴焜玥、肖庆红、王玮</w:t>
      </w:r>
      <w:r>
        <w:rPr>
          <w:rFonts w:hint="eastAsia" w:ascii="仿宋_GB2312" w:hAnsi="仿宋_GB2312" w:eastAsia="仿宋_GB2312" w:cs="仿宋_GB2312"/>
          <w:sz w:val="32"/>
          <w:szCs w:val="32"/>
          <w:highlight w:val="none"/>
          <w:lang w:val="en-US" w:eastAsia="zh-CN"/>
        </w:rPr>
        <w:t>等参与规程校核、修改完善；麦文慧、李娟娟参与规程附录中有关暗管排水设计（计算）的编程工作。</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w:t>
      </w:r>
      <w:r>
        <w:rPr>
          <w:rFonts w:ascii="黑体" w:hAnsi="黑体" w:eastAsia="黑体" w:cs="黑体"/>
          <w:sz w:val="32"/>
          <w:szCs w:val="32"/>
        </w:rPr>
        <w:t>、</w:t>
      </w:r>
      <w:r>
        <w:rPr>
          <w:rFonts w:hint="eastAsia" w:ascii="黑体" w:hAnsi="黑体" w:eastAsia="黑体" w:cs="黑体"/>
          <w:sz w:val="32"/>
          <w:szCs w:val="32"/>
        </w:rPr>
        <w:t>制订</w:t>
      </w:r>
      <w:r>
        <w:rPr>
          <w:rFonts w:ascii="黑体" w:hAnsi="黑体" w:eastAsia="黑体" w:cs="黑体"/>
          <w:sz w:val="32"/>
          <w:szCs w:val="32"/>
        </w:rPr>
        <w:t>标准的必要性和意义</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地处黄河中上游的宁夏引黄灌区携黄河之利土地肥沃，形成了历史悠久的河套农业灌区，享有“塞上江南”之美誉。然而，受气候和环境制约，与宁夏引黄灌区相伴相生的土壤盐渍化耕地面积由南向北逐步增加。据统计宁夏引黄灌区661.6万亩耕地中，盐渍化耕地为221.9万亩，占33.54%。虽然治理土壤盐渍化工作成效显著，但叠加节水灌溉技术呈现的“节水积盐”的负面影响，我区土壤盐渍化耕地面积一直处于高位，灌区土壤盐渍化治理任务非常艰巨。</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控制地下水位，调节土壤水分、盐分、温度和空气等因素，既是适应作物生长的需求，也是治理土壤盐渍、消除旱涝和保护环境的关键。兴建排灌工程、开展盐碱地综合改造利用，以及在排灌系统规划、设计、施工和运行管理过程中，都需要掌握排灌条件下地下水、土壤水的运动规律和工程调控效果。</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农田暗管排水是一种先进的排水技术和工程措施，与明沟相结合能快速排除田间多余水分，达到控制土壤水分和降低地下水位的目的。国内外工程实践表明，暗管排水在改善作物的土壤和水分条件、改良盐碱地、促进农业增产、农民增收等方面发挥重要作用，是现代农业发展过程中农田排水和盐碱地治理技术的发展趋势和方向。</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宁夏是</w:t>
      </w:r>
      <w:r>
        <w:rPr>
          <w:rFonts w:hint="eastAsia" w:ascii="仿宋_GB2312" w:hAnsi="仿宋_GB2312" w:eastAsia="仿宋_GB2312" w:cs="仿宋_GB2312"/>
          <w:sz w:val="32"/>
          <w:szCs w:val="32"/>
          <w:highlight w:val="none"/>
          <w:lang w:val="en-US" w:eastAsia="zh-CN"/>
        </w:rPr>
        <w:t>国内较早开展农田暗管排水技术试验、工程示范与推广应用的</w:t>
      </w:r>
      <w:r>
        <w:rPr>
          <w:rFonts w:hint="eastAsia" w:ascii="仿宋_GB2312" w:hAnsi="仿宋_GB2312" w:eastAsia="仿宋_GB2312" w:cs="仿宋_GB2312"/>
          <w:sz w:val="32"/>
          <w:szCs w:val="32"/>
          <w:highlight w:val="none"/>
        </w:rPr>
        <w:t>省</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之一，</w:t>
      </w:r>
      <w:r>
        <w:rPr>
          <w:rFonts w:hint="eastAsia" w:ascii="仿宋_GB2312" w:hAnsi="仿宋_GB2312" w:eastAsia="仿宋_GB2312" w:cs="仿宋_GB2312"/>
          <w:sz w:val="32"/>
          <w:szCs w:val="32"/>
          <w:highlight w:val="none"/>
          <w:lang w:val="en-US" w:eastAsia="zh-CN"/>
        </w:rPr>
        <w:t>自上世纪八十年代农田暗管排水技术就已引进到宁夏引黄灌区。近年来，随着国家高标准基本农田建设项目的实施，农田暗管排水技术得到进一步发展，已在约40万亩农田修建了田间暗管排水工程。</w:t>
      </w:r>
    </w:p>
    <w:p>
      <w:pPr>
        <w:spacing w:line="560" w:lineRule="exact"/>
        <w:ind w:firstLine="640" w:firstLineChars="200"/>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编制组调研发现，在以农田暗管排水工程为重点工程的盐碱地综合治理和高标准农田项目建设中，暗管排水技术的推广应用普遍存在项目区基础数据勘察与收集不完整、工程规划不统一、工程设计标准低、施工质量差、运行管理不完善等</w:t>
      </w:r>
      <w:r>
        <w:rPr>
          <w:rFonts w:hint="eastAsia" w:ascii="仿宋_GB2312" w:hAnsi="仿宋_GB2312" w:eastAsia="仿宋_GB2312" w:cs="仿宋_GB2312"/>
          <w:sz w:val="32"/>
          <w:szCs w:val="32"/>
          <w:highlight w:val="none"/>
        </w:rPr>
        <w:t>问题</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严重制约暗管排水工程效益的正常发挥</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仿宋_GB2312" w:hAnsi="仿宋_GB2312" w:eastAsia="仿宋_GB2312" w:cs="仿宋_GB2312"/>
          <w:sz w:val="32"/>
          <w:szCs w:val="32"/>
          <w:highlight w:val="magenta"/>
        </w:rPr>
      </w:pPr>
      <w:r>
        <w:rPr>
          <w:rFonts w:hint="eastAsia" w:ascii="仿宋_GB2312" w:hAnsi="仿宋_GB2312" w:eastAsia="仿宋_GB2312" w:cs="仿宋_GB2312"/>
          <w:sz w:val="32"/>
          <w:szCs w:val="32"/>
          <w:highlight w:val="none"/>
          <w:lang w:val="en-US" w:eastAsia="zh-CN"/>
        </w:rPr>
        <w:t>编制本规程</w:t>
      </w:r>
      <w:r>
        <w:rPr>
          <w:rFonts w:hint="eastAsia" w:ascii="仿宋_GB2312" w:hAnsi="仿宋_GB2312" w:eastAsia="仿宋_GB2312" w:cs="仿宋_GB2312"/>
          <w:sz w:val="32"/>
          <w:szCs w:val="32"/>
          <w:highlight w:val="none"/>
        </w:rPr>
        <w:t>旨在为进一步规范我区灌区农田暗管排水工程建设和管理，严格工程设计，提高施工质量，保障工程持续稳定发挥效益提供参考。本标准的制订和实施，</w:t>
      </w:r>
      <w:r>
        <w:rPr>
          <w:rFonts w:hint="eastAsia" w:ascii="仿宋_GB2312" w:hAnsi="仿宋_GB2312" w:eastAsia="仿宋_GB2312" w:cs="仿宋_GB2312"/>
          <w:sz w:val="32"/>
          <w:szCs w:val="32"/>
          <w:highlight w:val="none"/>
          <w:lang w:val="en-US" w:eastAsia="zh-CN"/>
        </w:rPr>
        <w:t>可以统一规范宁夏引黄灌区暗管排水工程的技术标准，有效指导工程行为，提升我区盐渍土治理中水利工程质量。</w:t>
      </w:r>
      <w:r>
        <w:rPr>
          <w:rFonts w:hint="eastAsia" w:ascii="仿宋_GB2312" w:hAnsi="仿宋_GB2312" w:eastAsia="仿宋_GB2312" w:cs="仿宋_GB2312"/>
          <w:sz w:val="32"/>
          <w:szCs w:val="32"/>
          <w:highlight w:val="none"/>
        </w:rPr>
        <w:t>为宁夏</w:t>
      </w:r>
      <w:r>
        <w:rPr>
          <w:rFonts w:hint="eastAsia" w:ascii="仿宋_GB2312" w:hAnsi="仿宋_GB2312" w:eastAsia="仿宋_GB2312" w:cs="仿宋_GB2312"/>
          <w:sz w:val="32"/>
          <w:szCs w:val="32"/>
          <w:highlight w:val="none"/>
          <w:lang w:val="en-US" w:eastAsia="zh-CN"/>
        </w:rPr>
        <w:t>农田暗管排水工程在盐碱地治理中的</w:t>
      </w:r>
      <w:r>
        <w:rPr>
          <w:rFonts w:hint="eastAsia" w:ascii="仿宋_GB2312" w:hAnsi="仿宋_GB2312" w:eastAsia="仿宋_GB2312" w:cs="仿宋_GB2312"/>
          <w:sz w:val="32"/>
          <w:szCs w:val="32"/>
          <w:highlight w:val="none"/>
        </w:rPr>
        <w:t>规模化、标准化</w:t>
      </w:r>
      <w:r>
        <w:rPr>
          <w:rFonts w:hint="eastAsia" w:ascii="仿宋_GB2312" w:hAnsi="仿宋_GB2312" w:eastAsia="仿宋_GB2312" w:cs="仿宋_GB2312"/>
          <w:sz w:val="32"/>
          <w:szCs w:val="32"/>
          <w:highlight w:val="none"/>
          <w:lang w:val="en-US" w:eastAsia="zh-CN"/>
        </w:rPr>
        <w:t>和高质量推广应用</w:t>
      </w:r>
      <w:r>
        <w:rPr>
          <w:rFonts w:hint="eastAsia" w:ascii="仿宋_GB2312" w:hAnsi="仿宋_GB2312" w:eastAsia="仿宋_GB2312" w:cs="仿宋_GB2312"/>
          <w:sz w:val="32"/>
          <w:szCs w:val="32"/>
          <w:highlight w:val="none"/>
        </w:rPr>
        <w:t>奠定基础，为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盐碱地改良与耕地地力提升”</w:t>
      </w:r>
      <w:r>
        <w:rPr>
          <w:rFonts w:hint="eastAsia" w:ascii="仿宋_GB2312" w:hAnsi="仿宋_GB2312" w:eastAsia="仿宋_GB2312" w:cs="仿宋_GB2312"/>
          <w:sz w:val="32"/>
          <w:szCs w:val="32"/>
          <w:highlight w:val="none"/>
        </w:rPr>
        <w:t>提供技术支撑。</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rPr>
        <w:t>、</w:t>
      </w:r>
      <w:r>
        <w:rPr>
          <w:rFonts w:hint="eastAsia" w:ascii="黑体" w:hAnsi="黑体" w:eastAsia="黑体" w:cs="黑体"/>
          <w:sz w:val="32"/>
          <w:szCs w:val="32"/>
        </w:rPr>
        <w:t>主要起草过程</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（一）成立起草组、确定分工</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地方标准项目任务下达后，</w:t>
      </w:r>
      <w:r>
        <w:rPr>
          <w:rFonts w:hint="eastAsia" w:ascii="仿宋_GB2312" w:hAnsi="仿宋_GB2312" w:eastAsia="仿宋_GB2312" w:cs="仿宋_GB2312"/>
          <w:sz w:val="32"/>
          <w:szCs w:val="32"/>
          <w:highlight w:val="none"/>
        </w:rPr>
        <w:t>宁夏</w:t>
      </w:r>
      <w:r>
        <w:rPr>
          <w:rFonts w:hint="eastAsia" w:ascii="仿宋_GB2312" w:hAnsi="仿宋_GB2312" w:eastAsia="仿宋_GB2312" w:cs="仿宋_GB2312"/>
          <w:sz w:val="32"/>
          <w:szCs w:val="32"/>
          <w:highlight w:val="none"/>
          <w:lang w:val="en-US" w:eastAsia="zh-CN"/>
        </w:rPr>
        <w:t>回族自治区农业综合开发中心</w:t>
      </w:r>
      <w:r>
        <w:rPr>
          <w:rFonts w:hint="eastAsia" w:ascii="仿宋_GB2312" w:hAnsi="仿宋_GB2312" w:eastAsia="仿宋_GB2312" w:cs="仿宋_GB2312"/>
          <w:sz w:val="32"/>
          <w:szCs w:val="32"/>
        </w:rPr>
        <w:t>成立标准编制起草组，起草组按照制订任务，确定了成员分工。</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（二）收集资料</w:t>
      </w:r>
    </w:p>
    <w:p>
      <w:pPr>
        <w:spacing w:line="560" w:lineRule="exact"/>
        <w:ind w:firstLine="640" w:firstLineChars="200"/>
        <w:rPr>
          <w:rFonts w:hint="eastAsia" w:ascii="仿宋_GB2312" w:hAnsi="仿宋_GB2312" w:eastAsia="仿宋_GB2312" w:cs="仿宋_GB2312"/>
          <w:sz w:val="32"/>
          <w:szCs w:val="32"/>
          <w:highlight w:val="magenta"/>
        </w:rPr>
      </w:pPr>
      <w:r>
        <w:rPr>
          <w:rFonts w:hint="eastAsia" w:ascii="仿宋_GB2312" w:hAnsi="仿宋_GB2312" w:eastAsia="仿宋_GB2312" w:cs="仿宋_GB2312"/>
          <w:color w:val="000000" w:themeColor="text1"/>
          <w:sz w:val="32"/>
          <w:szCs w:val="32"/>
          <w:highlight w:val="none"/>
        </w:rPr>
        <w:t>202</w:t>
      </w:r>
      <w:r>
        <w:rPr>
          <w:rFonts w:hint="eastAsia" w:ascii="仿宋_GB2312" w:hAnsi="仿宋_GB2312" w:eastAsia="仿宋_GB2312" w:cs="仿宋_GB2312"/>
          <w:color w:val="000000" w:themeColor="text1"/>
          <w:sz w:val="32"/>
          <w:szCs w:val="32"/>
          <w:highlight w:val="none"/>
          <w:lang w:val="en-US" w:eastAsia="zh-CN"/>
        </w:rPr>
        <w:t>3</w:t>
      </w:r>
      <w:r>
        <w:rPr>
          <w:rFonts w:hint="eastAsia" w:ascii="仿宋_GB2312" w:hAnsi="仿宋_GB2312" w:eastAsia="仿宋_GB2312" w:cs="仿宋_GB2312"/>
          <w:color w:val="000000" w:themeColor="text1"/>
          <w:sz w:val="32"/>
          <w:szCs w:val="32"/>
          <w:highlight w:val="none"/>
        </w:rPr>
        <w:t>年</w:t>
      </w:r>
      <w:r>
        <w:rPr>
          <w:rFonts w:hint="eastAsia" w:ascii="仿宋_GB2312" w:hAnsi="仿宋_GB2312" w:eastAsia="仿宋_GB2312" w:cs="仿宋_GB2312"/>
          <w:color w:val="000000" w:themeColor="text1"/>
          <w:sz w:val="32"/>
          <w:szCs w:val="32"/>
          <w:highlight w:val="none"/>
          <w:lang w:val="en-US" w:eastAsia="zh-CN"/>
        </w:rPr>
        <w:t>8</w:t>
      </w:r>
      <w:r>
        <w:rPr>
          <w:rFonts w:hint="eastAsia" w:ascii="仿宋_GB2312" w:hAnsi="仿宋_GB2312" w:eastAsia="仿宋_GB2312" w:cs="仿宋_GB2312"/>
          <w:color w:val="000000" w:themeColor="text1"/>
          <w:sz w:val="32"/>
          <w:szCs w:val="32"/>
          <w:highlight w:val="none"/>
        </w:rPr>
        <w:t>月</w:t>
      </w:r>
      <w:r>
        <w:rPr>
          <w:rFonts w:hint="eastAsia" w:ascii="仿宋_GB2312" w:hAnsi="仿宋_GB2312" w:eastAsia="仿宋_GB2312" w:cs="仿宋_GB2312"/>
          <w:color w:val="000000" w:themeColor="text1"/>
          <w:sz w:val="32"/>
          <w:szCs w:val="32"/>
          <w:highlight w:val="none"/>
          <w:lang w:eastAsia="zh-CN"/>
        </w:rPr>
        <w:t>至</w:t>
      </w:r>
      <w:r>
        <w:rPr>
          <w:rFonts w:hint="eastAsia" w:ascii="仿宋_GB2312" w:hAnsi="仿宋_GB2312" w:eastAsia="仿宋_GB2312" w:cs="仿宋_GB2312"/>
          <w:color w:val="000000" w:themeColor="text1"/>
          <w:sz w:val="32"/>
          <w:szCs w:val="32"/>
          <w:highlight w:val="none"/>
          <w:lang w:val="en-US" w:eastAsia="zh-CN"/>
        </w:rPr>
        <w:t>2025年11</w:t>
      </w:r>
      <w:r>
        <w:rPr>
          <w:rFonts w:hint="eastAsia" w:ascii="仿宋_GB2312" w:hAnsi="仿宋_GB2312" w:eastAsia="仿宋_GB2312" w:cs="仿宋_GB2312"/>
          <w:color w:val="000000" w:themeColor="text1"/>
          <w:sz w:val="32"/>
          <w:szCs w:val="32"/>
          <w:highlight w:val="none"/>
        </w:rPr>
        <w:t>月</w:t>
      </w:r>
      <w:r>
        <w:rPr>
          <w:rFonts w:hint="eastAsia" w:ascii="仿宋_GB2312" w:hAnsi="仿宋_GB2312" w:eastAsia="仿宋_GB2312" w:cs="仿宋_GB2312"/>
          <w:color w:val="000000" w:themeColor="text1"/>
          <w:sz w:val="32"/>
          <w:szCs w:val="32"/>
          <w:highlight w:val="none"/>
          <w:lang w:eastAsia="zh-CN"/>
        </w:rPr>
        <w:t>，</w:t>
      </w:r>
      <w:r>
        <w:rPr>
          <w:rFonts w:hint="eastAsia" w:ascii="仿宋_GB2312" w:hAnsi="仿宋_GB2312" w:eastAsia="仿宋_GB2312" w:cs="仿宋_GB2312"/>
          <w:sz w:val="32"/>
          <w:szCs w:val="32"/>
          <w:highlight w:val="none"/>
        </w:rPr>
        <w:t>在起草编制过程中，起草组收集了法律法规、政策文件、相关标准等资料，广泛征求了</w:t>
      </w:r>
      <w:r>
        <w:rPr>
          <w:rFonts w:hint="eastAsia" w:ascii="仿宋_GB2312" w:hAnsi="仿宋_GB2312" w:eastAsia="仿宋_GB2312" w:cs="仿宋_GB2312"/>
          <w:sz w:val="32"/>
          <w:szCs w:val="32"/>
          <w:highlight w:val="none"/>
          <w:lang w:val="en-US" w:eastAsia="zh-CN"/>
        </w:rPr>
        <w:t>近年来暗管排水工程设计、施工与运行管理单位以及</w:t>
      </w:r>
      <w:r>
        <w:rPr>
          <w:rFonts w:hint="eastAsia" w:ascii="仿宋_GB2312" w:hAnsi="仿宋_GB2312" w:eastAsia="仿宋_GB2312" w:cs="仿宋_GB2312"/>
          <w:sz w:val="32"/>
          <w:szCs w:val="32"/>
          <w:highlight w:val="none"/>
        </w:rPr>
        <w:t>种植专业合作社、农户、</w:t>
      </w:r>
      <w:r>
        <w:rPr>
          <w:rFonts w:hint="eastAsia" w:ascii="仿宋_GB2312" w:hAnsi="仿宋_GB2312" w:eastAsia="仿宋_GB2312" w:cs="仿宋_GB2312"/>
          <w:sz w:val="32"/>
          <w:szCs w:val="32"/>
          <w:highlight w:val="none"/>
          <w:lang w:val="en-US" w:eastAsia="zh-CN"/>
        </w:rPr>
        <w:t>土地流转后的大型</w:t>
      </w:r>
      <w:r>
        <w:rPr>
          <w:rFonts w:hint="eastAsia" w:ascii="仿宋_GB2312" w:hAnsi="仿宋_GB2312" w:eastAsia="仿宋_GB2312" w:cs="仿宋_GB2312"/>
          <w:sz w:val="32"/>
          <w:szCs w:val="32"/>
          <w:highlight w:val="none"/>
        </w:rPr>
        <w:t>生产企业对于</w:t>
      </w:r>
      <w:r>
        <w:rPr>
          <w:rFonts w:hint="eastAsia" w:ascii="仿宋_GB2312" w:hAnsi="仿宋_GB2312" w:eastAsia="仿宋_GB2312" w:cs="仿宋_GB2312"/>
          <w:sz w:val="32"/>
          <w:szCs w:val="32"/>
          <w:highlight w:val="none"/>
          <w:lang w:val="en-US" w:eastAsia="zh-CN"/>
        </w:rPr>
        <w:t>暗管排水工程的</w:t>
      </w:r>
      <w:r>
        <w:rPr>
          <w:rFonts w:hint="eastAsia" w:ascii="仿宋_GB2312" w:hAnsi="仿宋_GB2312" w:eastAsia="仿宋_GB2312" w:cs="仿宋_GB2312"/>
          <w:sz w:val="32"/>
          <w:szCs w:val="32"/>
          <w:highlight w:val="none"/>
        </w:rPr>
        <w:t>技术需求</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rPr>
        <w:t>意见。</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（三）编制标准草案</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在前期开展暗管排水工程设计、施工和运行管理现状的实地调查、理论研究、施工现场考察、试验监测以及总结暗管排水工程规划、设计、施工与运行管理各个环节中的经验的基础上，于2024年6月至12月初步起草了标准文本内容。2025年1月，起草组编制人员参加了自治区农业农村厅组织的标准立项审查会。2025年6月自治区市场监管厅将该标准列入2025年地方标准制（修）订计划。</w:t>
      </w:r>
      <w:r>
        <w:rPr>
          <w:rFonts w:hint="eastAsia" w:ascii="仿宋_GB2312" w:hAnsi="仿宋_GB2312" w:eastAsia="仿宋_GB2312" w:cs="仿宋_GB2312"/>
          <w:sz w:val="32"/>
          <w:szCs w:val="32"/>
          <w:highlight w:val="none"/>
        </w:rPr>
        <w:t>标准起草组</w:t>
      </w:r>
      <w:r>
        <w:rPr>
          <w:rFonts w:hint="eastAsia" w:ascii="仿宋_GB2312" w:hAnsi="仿宋_GB2312" w:eastAsia="仿宋_GB2312" w:cs="仿宋_GB2312"/>
          <w:sz w:val="32"/>
          <w:szCs w:val="32"/>
          <w:highlight w:val="none"/>
          <w:lang w:val="en-US" w:eastAsia="zh-CN"/>
        </w:rPr>
        <w:t>于</w:t>
      </w:r>
      <w:r>
        <w:rPr>
          <w:rFonts w:hint="eastAsia" w:ascii="仿宋_GB2312" w:hAnsi="仿宋_GB2312" w:eastAsia="仿宋_GB2312" w:cs="仿宋_GB2312"/>
          <w:sz w:val="32"/>
          <w:szCs w:val="32"/>
          <w:highlight w:val="none"/>
        </w:rPr>
        <w:t>2025年</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eastAsia="zh-CN"/>
        </w:rPr>
        <w:t>至</w:t>
      </w:r>
      <w:r>
        <w:rPr>
          <w:rFonts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期间</w:t>
      </w:r>
      <w:r>
        <w:rPr>
          <w:rFonts w:hint="eastAsia" w:ascii="仿宋_GB2312" w:hAnsi="仿宋_GB2312" w:eastAsia="仿宋_GB2312" w:cs="仿宋_GB2312"/>
          <w:sz w:val="32"/>
          <w:szCs w:val="32"/>
          <w:highlight w:val="none"/>
        </w:rPr>
        <w:t>，对所收集的资料进行</w:t>
      </w:r>
      <w:r>
        <w:rPr>
          <w:rFonts w:hint="eastAsia" w:ascii="仿宋_GB2312" w:hAnsi="仿宋_GB2312" w:eastAsia="仿宋_GB2312" w:cs="仿宋_GB2312"/>
          <w:sz w:val="32"/>
          <w:szCs w:val="32"/>
          <w:highlight w:val="none"/>
          <w:lang w:val="en-US" w:eastAsia="zh-CN"/>
        </w:rPr>
        <w:t>了</w:t>
      </w:r>
      <w:r>
        <w:rPr>
          <w:rFonts w:hint="eastAsia" w:ascii="仿宋_GB2312" w:hAnsi="仿宋_GB2312" w:eastAsia="仿宋_GB2312" w:cs="仿宋_GB2312"/>
          <w:sz w:val="32"/>
          <w:szCs w:val="32"/>
          <w:highlight w:val="none"/>
        </w:rPr>
        <w:t>梳理、分析</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结合在研的银北灌区暗管排水项目试验区工程实践和对监测数据的积累、研究与认识，</w:t>
      </w:r>
      <w:r>
        <w:rPr>
          <w:rFonts w:hint="eastAsia" w:ascii="仿宋_GB2312" w:hAnsi="仿宋_GB2312" w:eastAsia="仿宋_GB2312" w:cs="仿宋_GB2312"/>
          <w:sz w:val="32"/>
          <w:szCs w:val="32"/>
          <w:highlight w:val="none"/>
        </w:rPr>
        <w:t>明确了</w:t>
      </w:r>
      <w:r>
        <w:rPr>
          <w:rFonts w:hint="eastAsia" w:ascii="仿宋_GB2312" w:hAnsi="仿宋_GB2312" w:eastAsia="仿宋_GB2312" w:cs="仿宋_GB2312"/>
          <w:sz w:val="32"/>
          <w:szCs w:val="32"/>
          <w:highlight w:val="none"/>
          <w:lang w:val="en-US" w:eastAsia="zh-CN"/>
        </w:rPr>
        <w:t>暗管排水工程在项目规划、设计与施工及运行管理各环节的主要</w:t>
      </w:r>
      <w:r>
        <w:rPr>
          <w:rFonts w:hint="eastAsia" w:ascii="仿宋_GB2312" w:hAnsi="仿宋_GB2312" w:eastAsia="仿宋_GB2312" w:cs="仿宋_GB2312"/>
          <w:sz w:val="32"/>
          <w:szCs w:val="32"/>
          <w:highlight w:val="none"/>
        </w:rPr>
        <w:t>技术参数，起草完</w:t>
      </w:r>
      <w:r>
        <w:rPr>
          <w:rFonts w:hint="eastAsia" w:ascii="仿宋_GB2312" w:hAnsi="仿宋_GB2312" w:eastAsia="仿宋_GB2312" w:cs="仿宋_GB2312"/>
          <w:sz w:val="32"/>
          <w:szCs w:val="32"/>
          <w:highlight w:val="none"/>
          <w:lang w:val="en-US" w:eastAsia="zh-CN"/>
        </w:rPr>
        <w:t>成暗管排水技术规程初稿和</w:t>
      </w:r>
      <w:r>
        <w:rPr>
          <w:rFonts w:hint="eastAsia" w:ascii="仿宋_GB2312" w:hAnsi="仿宋_GB2312" w:eastAsia="仿宋_GB2312" w:cs="仿宋_GB2312"/>
          <w:sz w:val="32"/>
          <w:szCs w:val="32"/>
          <w:highlight w:val="none"/>
        </w:rPr>
        <w:t>讨论稿。</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（四）调研和征求意见</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highlight w:val="none"/>
          <w:lang w:eastAsia="zh-CN"/>
        </w:rPr>
        <w:t>至</w:t>
      </w:r>
      <w:r>
        <w:rPr>
          <w:rFonts w:hint="eastAsia" w:ascii="仿宋_GB2312" w:hAnsi="仿宋_GB2312" w:eastAsia="仿宋_GB2312" w:cs="仿宋_GB2312"/>
          <w:sz w:val="32"/>
          <w:szCs w:val="32"/>
        </w:rPr>
        <w:t>2026年1月，</w:t>
      </w:r>
      <w:bookmarkStart w:id="1" w:name="_Hlk155276719"/>
      <w:r>
        <w:rPr>
          <w:rFonts w:hint="eastAsia" w:ascii="仿宋_GB2312" w:hAnsi="仿宋_GB2312" w:eastAsia="仿宋_GB2312" w:cs="仿宋_GB2312"/>
          <w:sz w:val="32"/>
          <w:szCs w:val="32"/>
          <w:highlight w:val="none"/>
        </w:rPr>
        <w:t>起草</w:t>
      </w:r>
      <w:bookmarkEnd w:id="1"/>
      <w:r>
        <w:rPr>
          <w:rFonts w:hint="eastAsia" w:ascii="仿宋_GB2312" w:hAnsi="仿宋_GB2312" w:eastAsia="仿宋_GB2312" w:cs="仿宋_GB2312"/>
          <w:sz w:val="32"/>
          <w:szCs w:val="32"/>
          <w:highlight w:val="none"/>
        </w:rPr>
        <w:t>组将</w:t>
      </w:r>
      <w:bookmarkStart w:id="2" w:name="_Hlk155277023"/>
      <w:r>
        <w:rPr>
          <w:rFonts w:hint="eastAsia" w:ascii="仿宋_GB2312" w:hAnsi="仿宋_GB2312" w:eastAsia="仿宋_GB2312" w:cs="仿宋_GB2312"/>
          <w:sz w:val="32"/>
          <w:szCs w:val="32"/>
          <w:highlight w:val="none"/>
          <w:lang w:val="en-US" w:eastAsia="zh-CN"/>
        </w:rPr>
        <w:t>暗管排水技术规程初稿（</w:t>
      </w:r>
      <w:r>
        <w:rPr>
          <w:rFonts w:hint="eastAsia" w:ascii="仿宋_GB2312" w:hAnsi="仿宋_GB2312" w:eastAsia="仿宋_GB2312" w:cs="仿宋_GB2312"/>
          <w:sz w:val="32"/>
          <w:szCs w:val="32"/>
          <w:highlight w:val="none"/>
        </w:rPr>
        <w:t>讨论稿</w:t>
      </w:r>
      <w:r>
        <w:rPr>
          <w:rFonts w:hint="eastAsia" w:ascii="仿宋_GB2312" w:hAnsi="仿宋_GB2312" w:eastAsia="仿宋_GB2312" w:cs="仿宋_GB2312"/>
          <w:sz w:val="32"/>
          <w:szCs w:val="32"/>
          <w:highlight w:val="none"/>
          <w:lang w:eastAsia="zh-CN"/>
        </w:rPr>
        <w:t>）</w:t>
      </w:r>
      <w:bookmarkEnd w:id="2"/>
      <w:r>
        <w:rPr>
          <w:rFonts w:hint="eastAsia" w:ascii="仿宋_GB2312" w:hAnsi="仿宋_GB2312" w:eastAsia="仿宋_GB2312" w:cs="仿宋_GB2312"/>
          <w:sz w:val="32"/>
          <w:szCs w:val="32"/>
        </w:rPr>
        <w:t>和地方标准征求意见表以电子文档的形式分别发送给</w:t>
      </w:r>
      <w:r>
        <w:rPr>
          <w:rFonts w:hint="eastAsia" w:ascii="仿宋_GB2312" w:hAnsi="仿宋_GB2312" w:eastAsia="仿宋_GB2312" w:cs="仿宋_GB2312"/>
          <w:sz w:val="32"/>
          <w:szCs w:val="32"/>
          <w:lang w:val="en-US" w:eastAsia="zh-CN"/>
        </w:rPr>
        <w:t>相关专家征求意见。自2020年起始，本暗管排水技术规程分别征求了</w:t>
      </w:r>
      <w:r>
        <w:rPr>
          <w:rFonts w:hint="eastAsia" w:ascii="仿宋_GB2312" w:hAnsi="仿宋_GB2312" w:eastAsia="仿宋_GB2312" w:cs="仿宋_GB2312"/>
          <w:sz w:val="32"/>
          <w:szCs w:val="32"/>
        </w:rPr>
        <w:t>宁夏</w:t>
      </w:r>
      <w:r>
        <w:rPr>
          <w:rFonts w:hint="eastAsia" w:ascii="仿宋_GB2312" w:hAnsi="仿宋_GB2312" w:eastAsia="仿宋_GB2312" w:cs="仿宋_GB2312"/>
          <w:sz w:val="32"/>
          <w:szCs w:val="32"/>
          <w:lang w:val="en-US" w:eastAsia="zh-CN"/>
        </w:rPr>
        <w:t>回族自治区水利学会杜历研究员</w:t>
      </w:r>
      <w:r>
        <w:rPr>
          <w:rFonts w:hint="eastAsia" w:ascii="仿宋_GB2312" w:hAnsi="仿宋_GB2312" w:eastAsia="仿宋_GB2312" w:cs="仿宋_GB2312"/>
          <w:sz w:val="32"/>
          <w:szCs w:val="32"/>
        </w:rPr>
        <w:t>、宁夏</w:t>
      </w:r>
      <w:r>
        <w:rPr>
          <w:rFonts w:hint="eastAsia" w:ascii="仿宋_GB2312" w:hAnsi="仿宋_GB2312" w:eastAsia="仿宋_GB2312" w:cs="仿宋_GB2312"/>
          <w:sz w:val="32"/>
          <w:szCs w:val="32"/>
          <w:lang w:val="en-US" w:eastAsia="zh-CN"/>
        </w:rPr>
        <w:t>回族自治区农业综合开发中心周斌等正高级工程师、宁夏水利科学研究院鲍子云正高级工程师、银川市水利勘察设计院刘荣高级工程师、石嘴山市水利勘察设计院徐伟正高级工程师、施工单位技术人员以及宁夏大学的有关专家学者的意见。陆续收到几十条意见，</w:t>
      </w:r>
      <w:r>
        <w:rPr>
          <w:rFonts w:hint="eastAsia" w:ascii="仿宋_GB2312" w:hAnsi="仿宋_GB2312" w:eastAsia="仿宋_GB2312" w:cs="仿宋_GB2312"/>
          <w:sz w:val="32"/>
          <w:szCs w:val="32"/>
        </w:rPr>
        <w:t>专家分别</w:t>
      </w:r>
      <w:r>
        <w:rPr>
          <w:rFonts w:hint="eastAsia" w:ascii="仿宋_GB2312" w:hAnsi="仿宋_GB2312" w:eastAsia="仿宋_GB2312" w:cs="仿宋_GB2312"/>
          <w:sz w:val="32"/>
          <w:szCs w:val="32"/>
          <w:lang w:val="en-US" w:eastAsia="zh-CN"/>
        </w:rPr>
        <w:t>就暗管排水技术规程的涉及范围、内容和服务对象以及实用性、便捷性等方面提出了许多中肯意见和建议。</w:t>
      </w:r>
      <w:r>
        <w:rPr>
          <w:rFonts w:hint="eastAsia" w:ascii="仿宋_GB2312" w:hAnsi="仿宋_GB2312" w:eastAsia="仿宋_GB2312" w:cs="仿宋_GB2312"/>
          <w:sz w:val="32"/>
          <w:szCs w:val="32"/>
        </w:rPr>
        <w:t>经起草组集体</w:t>
      </w:r>
      <w:r>
        <w:rPr>
          <w:rFonts w:hint="eastAsia" w:ascii="仿宋_GB2312" w:hAnsi="仿宋_GB2312" w:eastAsia="仿宋_GB2312" w:cs="仿宋_GB2312"/>
          <w:sz w:val="32"/>
          <w:szCs w:val="32"/>
          <w:lang w:val="en-US" w:eastAsia="zh-CN"/>
        </w:rPr>
        <w:t>认真</w:t>
      </w:r>
      <w:r>
        <w:rPr>
          <w:rFonts w:hint="eastAsia" w:ascii="仿宋_GB2312" w:hAnsi="仿宋_GB2312" w:eastAsia="仿宋_GB2312" w:cs="仿宋_GB2312"/>
          <w:sz w:val="32"/>
          <w:szCs w:val="32"/>
        </w:rPr>
        <w:t>讨论</w:t>
      </w:r>
      <w:r>
        <w:rPr>
          <w:rFonts w:hint="eastAsia" w:ascii="仿宋_GB2312" w:hAnsi="仿宋_GB2312" w:eastAsia="仿宋_GB2312" w:cs="仿宋_GB2312"/>
          <w:sz w:val="32"/>
          <w:szCs w:val="32"/>
          <w:lang w:val="en-US" w:eastAsia="zh-CN"/>
        </w:rPr>
        <w:t>了这些意见和建议，将采纳的意见和建议分别融入到技术规程的基础数据勘察与收集、规划与设计、工程施工、运行管理与信息化管理等各个章节中，并对技术规程的语言表述、内容凝练、附录精选等作了删减、精炼。</w:t>
      </w:r>
      <w:r>
        <w:rPr>
          <w:rFonts w:hint="eastAsia" w:ascii="仿宋_GB2312" w:hAnsi="仿宋_GB2312" w:eastAsia="仿宋_GB2312" w:cs="仿宋_GB2312"/>
          <w:sz w:val="32"/>
          <w:szCs w:val="32"/>
        </w:rPr>
        <w:t>经修改完善形成了</w:t>
      </w:r>
      <w:r>
        <w:rPr>
          <w:rFonts w:hint="eastAsia" w:ascii="仿宋_GB2312" w:hAnsi="仿宋_GB2312" w:eastAsia="仿宋_GB2312" w:cs="仿宋_GB2312"/>
          <w:sz w:val="32"/>
          <w:szCs w:val="32"/>
          <w:lang w:val="en-US" w:eastAsia="zh-CN"/>
        </w:rPr>
        <w:t>《盐碱地治理水利工程技术规程第1部分：暗管排水》</w:t>
      </w:r>
      <w:r>
        <w:rPr>
          <w:rFonts w:hint="eastAsia" w:ascii="仿宋_GB2312" w:hAnsi="仿宋_GB2312" w:eastAsia="仿宋_GB2312" w:cs="仿宋_GB2312"/>
          <w:sz w:val="32"/>
          <w:szCs w:val="32"/>
        </w:rPr>
        <w:t>（征求意见稿），完成编制说明的编写。</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四、编制原则和依据，与</w:t>
      </w:r>
      <w:r>
        <w:rPr>
          <w:rFonts w:ascii="黑体" w:hAnsi="黑体" w:eastAsia="黑体" w:cs="黑体"/>
          <w:sz w:val="32"/>
          <w:szCs w:val="32"/>
        </w:rPr>
        <w:t>现行法律</w:t>
      </w:r>
      <w:r>
        <w:rPr>
          <w:rFonts w:hint="eastAsia" w:ascii="黑体" w:hAnsi="黑体" w:eastAsia="黑体" w:cs="黑体"/>
          <w:sz w:val="32"/>
          <w:szCs w:val="32"/>
        </w:rPr>
        <w:t>、</w:t>
      </w:r>
      <w:r>
        <w:rPr>
          <w:rFonts w:ascii="黑体" w:hAnsi="黑体" w:eastAsia="黑体" w:cs="黑体"/>
          <w:sz w:val="32"/>
          <w:szCs w:val="32"/>
        </w:rPr>
        <w:t>法规</w:t>
      </w:r>
      <w:r>
        <w:rPr>
          <w:rFonts w:hint="eastAsia" w:ascii="黑体" w:hAnsi="黑体" w:eastAsia="黑体" w:cs="黑体"/>
          <w:sz w:val="32"/>
          <w:szCs w:val="32"/>
        </w:rPr>
        <w:t>、</w:t>
      </w:r>
      <w:r>
        <w:rPr>
          <w:rFonts w:ascii="黑体" w:hAnsi="黑体" w:eastAsia="黑体" w:cs="黑体"/>
          <w:sz w:val="32"/>
          <w:szCs w:val="32"/>
        </w:rPr>
        <w:t>标准的</w:t>
      </w:r>
      <w:r>
        <w:rPr>
          <w:rFonts w:hint="eastAsia" w:ascii="黑体" w:hAnsi="黑体" w:eastAsia="黑体" w:cs="黑体"/>
          <w:sz w:val="32"/>
          <w:szCs w:val="32"/>
        </w:rPr>
        <w:t>关系</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科学性原则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本标准的编制遵循科学性原则。</w:t>
      </w:r>
      <w:r>
        <w:rPr>
          <w:rFonts w:hint="eastAsia" w:ascii="仿宋_GB2312" w:hAnsi="仿宋_GB2312" w:eastAsia="仿宋_GB2312" w:cs="仿宋_GB2312"/>
          <w:sz w:val="32"/>
          <w:szCs w:val="32"/>
          <w:lang w:val="en-US" w:eastAsia="zh-CN"/>
        </w:rPr>
        <w:t>在征求宁夏引黄灌区暗管排水工程建设单位、工程设计与施工企业、</w:t>
      </w:r>
      <w:r>
        <w:rPr>
          <w:rFonts w:hint="eastAsia" w:ascii="仿宋_GB2312" w:hAnsi="仿宋_GB2312" w:eastAsia="仿宋_GB2312" w:cs="仿宋_GB2312"/>
          <w:sz w:val="32"/>
          <w:szCs w:val="32"/>
        </w:rPr>
        <w:t>种植</w:t>
      </w:r>
      <w:r>
        <w:rPr>
          <w:rFonts w:hint="eastAsia" w:ascii="仿宋_GB2312" w:hAnsi="仿宋_GB2312" w:eastAsia="仿宋_GB2312" w:cs="仿宋_GB2312"/>
          <w:sz w:val="32"/>
          <w:szCs w:val="32"/>
          <w:lang w:val="en-US" w:eastAsia="zh-CN"/>
        </w:rPr>
        <w:t>农户、乡镇水管站、农民用水协会</w:t>
      </w:r>
      <w:r>
        <w:rPr>
          <w:rFonts w:hint="eastAsia" w:ascii="仿宋_GB2312" w:hAnsi="仿宋_GB2312" w:eastAsia="仿宋_GB2312" w:cs="仿宋_GB2312"/>
          <w:sz w:val="32"/>
          <w:szCs w:val="32"/>
        </w:rPr>
        <w:t>等多方面意见的基础上，确立各项技术指标，确保了标准制订的科学性。</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先进性原则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本标准遵循先进性原则。在标准制订过程中，</w:t>
      </w:r>
      <w:r>
        <w:rPr>
          <w:rFonts w:hint="eastAsia" w:ascii="仿宋_GB2312" w:hAnsi="仿宋_GB2312" w:eastAsia="仿宋_GB2312" w:cs="仿宋_GB2312"/>
          <w:sz w:val="32"/>
          <w:szCs w:val="32"/>
          <w:lang w:val="en-US" w:eastAsia="zh-CN"/>
        </w:rPr>
        <w:t>规程编制组</w:t>
      </w:r>
      <w:r>
        <w:rPr>
          <w:rFonts w:hint="eastAsia" w:ascii="仿宋_GB2312" w:hAnsi="仿宋_GB2312" w:eastAsia="仿宋_GB2312" w:cs="仿宋_GB2312"/>
          <w:sz w:val="32"/>
          <w:szCs w:val="32"/>
        </w:rPr>
        <w:t>收集了本项目涉及的最新国内标准文献和资料，</w:t>
      </w:r>
      <w:r>
        <w:rPr>
          <w:rFonts w:hint="eastAsia" w:ascii="仿宋_GB2312" w:hAnsi="仿宋_GB2312" w:eastAsia="仿宋_GB2312" w:cs="仿宋_GB2312"/>
          <w:sz w:val="32"/>
          <w:szCs w:val="32"/>
          <w:lang w:val="en-US" w:eastAsia="zh-CN"/>
        </w:rPr>
        <w:t>分析</w:t>
      </w:r>
      <w:r>
        <w:rPr>
          <w:rFonts w:hint="eastAsia" w:ascii="仿宋_GB2312" w:hAnsi="仿宋_GB2312" w:eastAsia="仿宋_GB2312" w:cs="仿宋_GB2312"/>
          <w:sz w:val="32"/>
          <w:szCs w:val="32"/>
        </w:rPr>
        <w:t>国家和自治区级科研项目取得的最新研究成果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对比现行国家与行业以及相关地区技术规程</w:t>
      </w:r>
      <w:r>
        <w:rPr>
          <w:rFonts w:hint="eastAsia" w:ascii="仿宋_GB2312" w:hAnsi="仿宋_GB2312" w:eastAsia="仿宋_GB2312" w:cs="仿宋_GB2312"/>
          <w:sz w:val="32"/>
          <w:szCs w:val="32"/>
        </w:rPr>
        <w:t>的基础上，确立本标准的相关技术指标，确保了本标准的先进性。</w:t>
      </w:r>
    </w:p>
    <w:p>
      <w:pPr>
        <w:spacing w:line="560" w:lineRule="exact"/>
        <w:ind w:firstLine="640" w:firstLineChars="20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3</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适应性原则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本标准的编制遵循适用性原则。</w:t>
      </w:r>
      <w:r>
        <w:rPr>
          <w:rFonts w:hint="eastAsia" w:ascii="仿宋_GB2312" w:hAnsi="仿宋_GB2312" w:eastAsia="仿宋_GB2312" w:cs="仿宋_GB2312"/>
          <w:sz w:val="32"/>
          <w:szCs w:val="32"/>
          <w:lang w:val="en-US" w:eastAsia="zh-CN"/>
        </w:rPr>
        <w:t>针对我区灌溉农业特色、灌区自然地理环境和水资源特性，尤其是以银北灌区为典型代表的排水困难灌域，本规程为采用暗管排水工程治理盐碱地</w:t>
      </w:r>
      <w:r>
        <w:rPr>
          <w:rFonts w:hint="eastAsia" w:ascii="仿宋_GB2312" w:hAnsi="仿宋_GB2312" w:eastAsia="仿宋_GB2312" w:cs="仿宋_GB2312"/>
          <w:sz w:val="32"/>
          <w:szCs w:val="32"/>
        </w:rPr>
        <w:t>提供了</w:t>
      </w:r>
      <w:r>
        <w:rPr>
          <w:rFonts w:hint="eastAsia" w:ascii="仿宋_GB2312" w:hAnsi="仿宋_GB2312" w:eastAsia="仿宋_GB2312" w:cs="仿宋_GB2312"/>
          <w:sz w:val="32"/>
          <w:szCs w:val="32"/>
          <w:lang w:val="en-US" w:eastAsia="zh-CN"/>
        </w:rPr>
        <w:t>工程</w:t>
      </w:r>
      <w:r>
        <w:rPr>
          <w:rFonts w:hint="eastAsia" w:ascii="仿宋_GB2312" w:hAnsi="仿宋_GB2312" w:eastAsia="仿宋_GB2312" w:cs="仿宋_GB2312"/>
          <w:sz w:val="32"/>
          <w:szCs w:val="32"/>
        </w:rPr>
        <w:t>技术依据</w:t>
      </w:r>
      <w:r>
        <w:rPr>
          <w:rFonts w:hint="eastAsia" w:ascii="仿宋_GB2312" w:hAnsi="仿宋_GB2312" w:eastAsia="仿宋_GB2312" w:cs="仿宋_GB2312"/>
          <w:sz w:val="32"/>
          <w:szCs w:val="32"/>
          <w:lang w:val="en-US" w:eastAsia="zh-CN"/>
        </w:rPr>
        <w:t>与遵循</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暗管排水工程的设计、施工与管理全过程建设质量提出</w:t>
      </w:r>
      <w:r>
        <w:rPr>
          <w:rFonts w:hint="eastAsia" w:ascii="仿宋_GB2312" w:hAnsi="仿宋_GB2312" w:eastAsia="仿宋_GB2312" w:cs="仿宋_GB2312"/>
          <w:sz w:val="32"/>
          <w:szCs w:val="32"/>
        </w:rPr>
        <w:t>明确的要求。</w:t>
      </w:r>
      <w:r>
        <w:rPr>
          <w:rFonts w:hint="eastAsia" w:ascii="仿宋_GB2312" w:hAnsi="仿宋_GB2312" w:eastAsia="仿宋_GB2312" w:cs="仿宋_GB2312"/>
          <w:sz w:val="32"/>
          <w:szCs w:val="32"/>
          <w:lang w:val="en-US" w:eastAsia="zh-CN"/>
        </w:rPr>
        <w:t>突出了地方特色和各工程环节的细节约束，</w:t>
      </w:r>
      <w:r>
        <w:rPr>
          <w:rFonts w:hint="eastAsia" w:ascii="仿宋_GB2312" w:hAnsi="仿宋_GB2312" w:eastAsia="仿宋_GB2312" w:cs="仿宋_GB2312"/>
          <w:sz w:val="32"/>
          <w:szCs w:val="32"/>
        </w:rPr>
        <w:t>增强了标准的针对性、实用性和可操作性。</w:t>
      </w:r>
    </w:p>
    <w:p>
      <w:pPr>
        <w:spacing w:line="560" w:lineRule="exact"/>
        <w:ind w:firstLine="643" w:firstLineChars="200"/>
        <w:rPr>
          <w:rFonts w:hint="eastAsia" w:ascii="仿宋_GB2312" w:hAnsi="仿宋_GB2312" w:eastAsia="仿宋_GB2312" w:cs="仿宋_GB2312"/>
          <w:b/>
          <w:bCs/>
          <w:sz w:val="32"/>
          <w:szCs w:val="32"/>
          <w:highlight w:val="yellow"/>
        </w:rPr>
      </w:pPr>
      <w:r>
        <w:rPr>
          <w:rFonts w:hint="eastAsia" w:ascii="仿宋_GB2312" w:hAnsi="仿宋_GB2312" w:eastAsia="仿宋_GB2312" w:cs="仿宋_GB2312"/>
          <w:b/>
          <w:bCs/>
          <w:sz w:val="32"/>
          <w:szCs w:val="32"/>
          <w:highlight w:val="none"/>
        </w:rPr>
        <w:t>（二）编制依据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1.本标准按照GB/T 1.1—2020《标准化工作导则  第1部分：标准化文件的结构和起草规则》的规定进行起草编制。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2.本标准起草编制过程中，依托宁夏</w:t>
      </w:r>
      <w:r>
        <w:rPr>
          <w:rFonts w:hint="eastAsia" w:ascii="仿宋_GB2312" w:hAnsi="仿宋_GB2312" w:eastAsia="仿宋_GB2312" w:cs="仿宋_GB2312"/>
          <w:sz w:val="32"/>
          <w:szCs w:val="32"/>
          <w:lang w:val="en-US" w:eastAsia="zh-CN"/>
        </w:rPr>
        <w:t>回族自治区农业综合开发中心、宁夏大学土木与水利工程学院的科研、技术与建设管理优势，在基础数据收集方法、项目规划理念、工程设计计算、参数选取、施工机械化工法等环节融入了多年积累的最新科研成果与技术创新。</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val="en-US" w:eastAsia="zh-CN"/>
        </w:rPr>
        <w:t>工程设计、施工与运行管理各</w:t>
      </w:r>
      <w:r>
        <w:rPr>
          <w:rFonts w:hint="eastAsia" w:ascii="仿宋_GB2312" w:hAnsi="仿宋_GB2312" w:eastAsia="仿宋_GB2312" w:cs="仿宋_GB2312"/>
          <w:sz w:val="32"/>
          <w:szCs w:val="32"/>
        </w:rPr>
        <w:t>主要环节的技术参数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方法与流程</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基础数据收集、工程规划、设计计算、施工工法</w:t>
      </w:r>
      <w:r>
        <w:rPr>
          <w:rFonts w:hint="eastAsia" w:ascii="仿宋_GB2312" w:hAnsi="仿宋_GB2312" w:eastAsia="仿宋_GB2312" w:cs="仿宋_GB2312"/>
          <w:sz w:val="32"/>
          <w:szCs w:val="32"/>
        </w:rPr>
        <w:t>的基本要求</w:t>
      </w:r>
      <w:r>
        <w:rPr>
          <w:rFonts w:hint="eastAsia" w:ascii="仿宋_GB2312" w:hAnsi="仿宋_GB2312" w:eastAsia="仿宋_GB2312" w:cs="仿宋_GB2312"/>
          <w:sz w:val="32"/>
          <w:szCs w:val="32"/>
          <w:lang w:val="en-US" w:eastAsia="zh-CN"/>
        </w:rPr>
        <w:t>与操作要点</w:t>
      </w:r>
      <w:r>
        <w:rPr>
          <w:rFonts w:hint="eastAsia" w:ascii="仿宋_GB2312" w:hAnsi="仿宋_GB2312" w:eastAsia="仿宋_GB2312" w:cs="仿宋_GB2312"/>
          <w:sz w:val="32"/>
          <w:szCs w:val="32"/>
        </w:rPr>
        <w:t>、机械</w:t>
      </w:r>
      <w:r>
        <w:rPr>
          <w:rFonts w:hint="eastAsia" w:ascii="仿宋_GB2312" w:hAnsi="仿宋_GB2312" w:eastAsia="仿宋_GB2312" w:cs="仿宋_GB2312"/>
          <w:sz w:val="32"/>
          <w:szCs w:val="32"/>
          <w:lang w:val="en-US" w:eastAsia="zh-CN"/>
        </w:rPr>
        <w:t>化施工质量控制、参数</w:t>
      </w:r>
      <w:r>
        <w:rPr>
          <w:rFonts w:hint="eastAsia" w:ascii="仿宋_GB2312" w:hAnsi="仿宋_GB2312" w:eastAsia="仿宋_GB2312" w:cs="仿宋_GB2312"/>
          <w:sz w:val="32"/>
          <w:szCs w:val="32"/>
        </w:rPr>
        <w:t>选择、操作方法、质量</w:t>
      </w:r>
      <w:r>
        <w:rPr>
          <w:rFonts w:hint="eastAsia" w:ascii="仿宋_GB2312" w:hAnsi="仿宋_GB2312" w:eastAsia="仿宋_GB2312" w:cs="仿宋_GB2312"/>
          <w:sz w:val="32"/>
          <w:szCs w:val="32"/>
          <w:lang w:val="en-US" w:eastAsia="zh-CN"/>
        </w:rPr>
        <w:t>标准等各环节工程行为的</w:t>
      </w:r>
      <w:r>
        <w:rPr>
          <w:rFonts w:hint="eastAsia" w:ascii="仿宋_GB2312" w:hAnsi="仿宋_GB2312" w:eastAsia="仿宋_GB2312" w:cs="仿宋_GB2312"/>
          <w:sz w:val="32"/>
          <w:szCs w:val="32"/>
        </w:rPr>
        <w:t>要求进行了详细说明。</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（三）与现行</w:t>
      </w:r>
      <w:r>
        <w:rPr>
          <w:rFonts w:ascii="仿宋_GB2312" w:hAnsi="仿宋_GB2312" w:eastAsia="仿宋_GB2312" w:cs="仿宋_GB2312"/>
          <w:b/>
          <w:bCs/>
          <w:sz w:val="32"/>
          <w:szCs w:val="32"/>
        </w:rPr>
        <w:t>法律法规、标准的</w:t>
      </w:r>
      <w:r>
        <w:rPr>
          <w:rFonts w:hint="eastAsia" w:ascii="仿宋_GB2312" w:hAnsi="仿宋_GB2312" w:eastAsia="仿宋_GB2312" w:cs="仿宋_GB2312"/>
          <w:b/>
          <w:bCs/>
          <w:sz w:val="32"/>
          <w:szCs w:val="32"/>
        </w:rPr>
        <w:t>关系</w:t>
      </w:r>
    </w:p>
    <w:p>
      <w:pPr>
        <w:spacing w:line="560" w:lineRule="exact"/>
        <w:ind w:firstLine="640" w:firstLineChars="200"/>
        <w:rPr>
          <w:rFonts w:hint="eastAsia" w:ascii="仿宋_GB2312" w:hAnsi="仿宋_GB2312" w:eastAsia="仿宋_GB2312" w:cs="仿宋_GB2312"/>
          <w:sz w:val="32"/>
          <w:szCs w:val="32"/>
          <w:lang w:eastAsia="zh-CN"/>
        </w:rPr>
      </w:pPr>
      <w:bookmarkStart w:id="3" w:name="_Hlk176889964"/>
      <w:r>
        <w:rPr>
          <w:rFonts w:hint="eastAsia" w:ascii="仿宋_GB2312" w:hAnsi="仿宋_GB2312" w:eastAsia="仿宋_GB2312" w:cs="仿宋_GB2312"/>
          <w:sz w:val="32"/>
          <w:szCs w:val="32"/>
        </w:rPr>
        <w:t>本标准与其它相关法律、法规和国家标准协调一致</w:t>
      </w:r>
      <w:r>
        <w:rPr>
          <w:rFonts w:hint="eastAsia" w:ascii="仿宋_GB2312" w:hAnsi="仿宋_GB2312" w:eastAsia="仿宋_GB2312" w:cs="仿宋_GB2312"/>
          <w:sz w:val="32"/>
          <w:szCs w:val="32"/>
          <w:lang w:eastAsia="zh-CN"/>
        </w:rPr>
        <w:t>，</w:t>
      </w:r>
      <w:bookmarkStart w:id="4" w:name="_Hlk219996183"/>
      <w:r>
        <w:rPr>
          <w:rFonts w:hint="eastAsia" w:ascii="仿宋_GB2312" w:hAnsi="仿宋_GB2312" w:eastAsia="仿宋_GB2312" w:cs="仿宋_GB2312"/>
          <w:sz w:val="32"/>
          <w:szCs w:val="32"/>
          <w:lang w:val="en-US" w:eastAsia="zh-CN"/>
        </w:rPr>
        <w:t>《盐碱地治理水利工程技术规程第1部分：暗管排水》</w:t>
      </w:r>
      <w:bookmarkEnd w:id="4"/>
      <w:r>
        <w:rPr>
          <w:rFonts w:hint="eastAsia" w:ascii="仿宋_GB2312" w:hAnsi="仿宋_GB2312" w:eastAsia="仿宋_GB2312" w:cs="仿宋_GB2312"/>
          <w:sz w:val="32"/>
          <w:szCs w:val="32"/>
        </w:rPr>
        <w:t>属</w:t>
      </w:r>
      <w:r>
        <w:rPr>
          <w:rFonts w:hint="eastAsia" w:ascii="仿宋_GB2312" w:hAnsi="仿宋_GB2312" w:eastAsia="仿宋_GB2312" w:cs="仿宋_GB2312"/>
          <w:sz w:val="32"/>
          <w:szCs w:val="32"/>
          <w:lang w:val="en-US" w:eastAsia="zh-CN"/>
        </w:rPr>
        <w:t>我区</w:t>
      </w:r>
      <w:r>
        <w:rPr>
          <w:rFonts w:hint="eastAsia" w:ascii="仿宋_GB2312" w:hAnsi="仿宋_GB2312" w:eastAsia="仿宋_GB2312" w:cs="仿宋_GB2312"/>
          <w:sz w:val="32"/>
          <w:szCs w:val="32"/>
        </w:rPr>
        <w:t>首次制订，国内尚</w:t>
      </w:r>
      <w:r>
        <w:rPr>
          <w:rFonts w:hint="eastAsia" w:ascii="仿宋_GB2312" w:hAnsi="仿宋_GB2312" w:eastAsia="仿宋_GB2312" w:cs="仿宋_GB2312"/>
          <w:sz w:val="32"/>
          <w:szCs w:val="32"/>
          <w:lang w:val="en-US" w:eastAsia="zh-CN"/>
        </w:rPr>
        <w:t>针对农田暗管排水技术的</w:t>
      </w:r>
      <w:r>
        <w:rPr>
          <w:rFonts w:hint="eastAsia" w:ascii="仿宋_GB2312" w:hAnsi="仿宋_GB2312" w:eastAsia="仿宋_GB2312" w:cs="仿宋_GB2312"/>
          <w:sz w:val="32"/>
          <w:szCs w:val="32"/>
        </w:rPr>
        <w:t>国家标准</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现有行业标准为2013年国土自然资源部颁布的 TD/T1043.2-2013暗管改良盐碱地技术规程以及内蒙古自治区市场监督管理局于2023年发布的DB15/T 2859-2023河套灌区盐碱地暗管排水工程施工及管理技术地方规程。</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然而，针对宁夏引黄灌区实际，特别是宁夏暗管排水采用的在国内外领先的光伏泵站、灌排一体化等新技术、新工艺以及新理念，并未纳入现有技术规程之中，无法全面反映和指导宁夏暗管排水工程实践。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尤其是本规程根据宁夏本地盐碱耕地实际情况，在工程施工方面的技术要求更为具体和细化，涵盖了暗管排水施工总体要求、吸水管施工要求、集水管施工要求、暗管排水配套建筑物施工要求、暗管排水工程验收等方面，较内蒙古地方规程 DB15/T 2859-2023 更为细化、全面，可操作性更强。</w:t>
      </w:r>
    </w:p>
    <w:bookmarkEnd w:id="3"/>
    <w:p>
      <w:pPr>
        <w:spacing w:line="560" w:lineRule="exact"/>
        <w:ind w:firstLine="640" w:firstLineChars="200"/>
        <w:rPr>
          <w:rFonts w:hint="eastAsia" w:ascii="仿宋_GB2312" w:hAnsi="仿宋_GB2312" w:eastAsia="仿宋_GB2312" w:cs="仿宋_GB2312"/>
          <w:sz w:val="32"/>
          <w:szCs w:val="32"/>
          <w:highlight w:val="yellow"/>
        </w:rPr>
      </w:pPr>
      <w:r>
        <w:rPr>
          <w:rFonts w:hint="eastAsia" w:ascii="黑体" w:hAnsi="黑体" w:eastAsia="黑体" w:cs="黑体"/>
          <w:color w:val="000000"/>
          <w:sz w:val="32"/>
          <w:szCs w:val="32"/>
          <w:highlight w:val="none"/>
        </w:rPr>
        <w:t>五、</w:t>
      </w:r>
      <w:r>
        <w:rPr>
          <w:rFonts w:ascii="黑体" w:hAnsi="黑体" w:eastAsia="黑体" w:cs="黑体"/>
          <w:color w:val="000000"/>
          <w:sz w:val="32"/>
          <w:szCs w:val="32"/>
          <w:highlight w:val="none"/>
        </w:rPr>
        <w:t>主要条款的说明</w:t>
      </w:r>
      <w:r>
        <w:rPr>
          <w:rFonts w:hint="eastAsia" w:ascii="黑体" w:hAnsi="黑体" w:eastAsia="黑体" w:cs="黑体"/>
          <w:color w:val="000000"/>
          <w:sz w:val="32"/>
          <w:szCs w:val="32"/>
          <w:highlight w:val="none"/>
        </w:rPr>
        <w:t>，主要</w:t>
      </w:r>
      <w:r>
        <w:rPr>
          <w:rFonts w:ascii="黑体" w:hAnsi="黑体" w:eastAsia="黑体" w:cs="黑体"/>
          <w:color w:val="000000"/>
          <w:sz w:val="32"/>
          <w:szCs w:val="32"/>
          <w:highlight w:val="none"/>
        </w:rPr>
        <w:t>技术指标、参数、实验验证的</w:t>
      </w:r>
      <w:r>
        <w:rPr>
          <w:rFonts w:hint="eastAsia" w:ascii="黑体" w:hAnsi="黑体" w:eastAsia="黑体" w:cs="黑体"/>
          <w:color w:val="000000"/>
          <w:sz w:val="32"/>
          <w:szCs w:val="32"/>
          <w:highlight w:val="none"/>
        </w:rPr>
        <w:t>论述</w:t>
      </w:r>
    </w:p>
    <w:p>
      <w:pPr>
        <w:spacing w:line="560" w:lineRule="exact"/>
        <w:ind w:left="638" w:leftChars="304"/>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（一）主要条款</w:t>
      </w:r>
      <w:r>
        <w:rPr>
          <w:rFonts w:ascii="仿宋_GB2312" w:hAnsi="仿宋_GB2312" w:eastAsia="仿宋_GB2312" w:cs="仿宋_GB2312"/>
          <w:b/>
          <w:bCs/>
          <w:sz w:val="32"/>
          <w:szCs w:val="32"/>
        </w:rPr>
        <w:t>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标准主要内容包括：</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1.范围：对本标准的适用范围进行规定。</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2.规范性引用文件：对本标准引用的文件条款进行注明。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3.术语和定义：对</w:t>
      </w:r>
      <w:bookmarkStart w:id="5" w:name="OLE_LINK2"/>
      <w:r>
        <w:rPr>
          <w:rFonts w:hint="eastAsia" w:ascii="仿宋_GB2312" w:hAnsi="仿宋_GB2312" w:eastAsia="仿宋_GB2312" w:cs="仿宋_GB2312"/>
          <w:sz w:val="32"/>
          <w:szCs w:val="32"/>
          <w:lang w:val="en-US" w:eastAsia="zh-CN"/>
        </w:rPr>
        <w:t>暗管排水相关技术术语进行了准确定义</w:t>
      </w:r>
      <w:bookmarkEnd w:id="5"/>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限定</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4.基本要求：</w:t>
      </w:r>
      <w:bookmarkStart w:id="6" w:name="_Hlk155255181"/>
      <w:r>
        <w:rPr>
          <w:rFonts w:hint="eastAsia" w:ascii="仿宋_GB2312" w:hAnsi="仿宋_GB2312" w:eastAsia="仿宋_GB2312" w:cs="仿宋_GB2312"/>
          <w:sz w:val="32"/>
          <w:szCs w:val="32"/>
          <w:lang w:val="en-US" w:eastAsia="zh-CN"/>
        </w:rPr>
        <w:t>设计、施工、监理人员的资质进行了要求与界定，对勘察、规划、设计、施工、运行管理各环节的参数选择、方案比选、计算方法、施工工法以及工作流程进行了严格规范与限制</w:t>
      </w:r>
      <w:bookmarkEnd w:id="6"/>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对设计、施工内容与质量、工程验收标准与流程等环节的要求</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了严格详细的</w:t>
      </w:r>
      <w:r>
        <w:rPr>
          <w:rFonts w:hint="eastAsia" w:ascii="仿宋_GB2312" w:hAnsi="仿宋_GB2312" w:eastAsia="仿宋_GB2312" w:cs="仿宋_GB2312"/>
          <w:sz w:val="32"/>
          <w:szCs w:val="32"/>
        </w:rPr>
        <w:t>规定。</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对竣工验收后，工程运行管理进行界定，明确工程维修管护的责任与义务</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提出了信息化管理的目标与要求</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对工程运行过程中的排水效果、盐碱地治理效益的长期监测方法与监测要求</w:t>
      </w:r>
      <w:r>
        <w:rPr>
          <w:rFonts w:hint="eastAsia" w:ascii="仿宋_GB2312" w:hAnsi="仿宋_GB2312" w:eastAsia="仿宋_GB2312" w:cs="仿宋_GB2312"/>
          <w:sz w:val="32"/>
          <w:szCs w:val="32"/>
        </w:rPr>
        <w:t>进行规定。</w:t>
      </w:r>
    </w:p>
    <w:p>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（二）主要技术指标、参数、试验验证的论述 </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w:t>
      </w:r>
      <w:r>
        <w:rPr>
          <w:rFonts w:hint="eastAsia" w:ascii="仿宋_GB2312" w:hAnsi="仿宋_GB2312" w:eastAsia="仿宋_GB2312" w:cs="仿宋_GB2312"/>
          <w:sz w:val="32"/>
          <w:szCs w:val="32"/>
        </w:rPr>
        <w:t>宁夏</w:t>
      </w:r>
      <w:r>
        <w:rPr>
          <w:rFonts w:hint="eastAsia" w:ascii="仿宋_GB2312" w:hAnsi="仿宋_GB2312" w:eastAsia="仿宋_GB2312" w:cs="仿宋_GB2312"/>
          <w:sz w:val="32"/>
          <w:szCs w:val="32"/>
          <w:lang w:val="en-US" w:eastAsia="zh-CN"/>
        </w:rPr>
        <w:t>农业综合开发中心、宁夏大学土木与水利工程学院先</w:t>
      </w:r>
      <w:r>
        <w:rPr>
          <w:rFonts w:hint="eastAsia" w:ascii="仿宋_GB2312" w:hAnsi="仿宋_GB2312" w:eastAsia="仿宋_GB2312" w:cs="仿宋_GB2312"/>
          <w:sz w:val="32"/>
          <w:szCs w:val="32"/>
        </w:rPr>
        <w:t>后开展</w:t>
      </w:r>
      <w:r>
        <w:rPr>
          <w:rFonts w:hint="eastAsia" w:ascii="仿宋_GB2312" w:hAnsi="仿宋_GB2312" w:eastAsia="仿宋_GB2312" w:cs="仿宋_GB2312"/>
          <w:sz w:val="32"/>
          <w:szCs w:val="32"/>
          <w:lang w:val="en-US" w:eastAsia="zh-CN"/>
        </w:rPr>
        <w:t>相关研究课题和高标准农田建设项目，这些工程建设实践、科研项目试验、长观监测等研究工作，有力支撑本规程的技术指标、参数的可靠性与适用性。其中暗管排水的水力要素选取、暗管设计参数计算方法、暗管铺设施工中的铺管机操作方法与施工工法等均来自宁夏农业综合开发项目的工程实践总结和相关科研项目的研究成果。</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体现在：（1）针对近年来农村土地流转、大集团种植户、农业合作社等农业生产集约化的新趋势，结合盐碱地治理的实际需求，提出“浅埋密布”设计思路，研制了大型渗流槽，开展室内物理模型试验，验证了吸水管间距、埋深和外包滤料的排水控盐规律，优化了暗管排水设计参数和设计方案；（2）调研、查阅我区暗管排水工程设计资料，以我区农业综合开发项目建设中普遍采用的暗管排水工程设中水力要素的计算方法与惯例，给出了考虑稳定、非稳定条件下的胡格浩特公式的计算方法和计算机程序；（3）结合我区农业综合开发项目建设中暗管排水工程施工机械化施工经验，给出了铺管机施工工法，明确了施工质量控制指标和操作要点；（4）立足于宁夏实际，结合工程实践，在技术规程中明确暗管排水工程抽排泵站首选光伏新能源动力系统，给出了光伏泵站设计参数与运行方式；（5）依托近两年在银北平罗县灵沙乡的暗管排水试验区监测试验，通过分析监测数据，一是得出了暗管排水技术可以有效调控田间地下水位，能确保地下水维持在临界地下水以下的结论；二是试验区地下水位长观监测数据，验证了在盐碱地治理中采用“浅埋密布”暗管排水设计的有效性，为盐碱地治理提供了根本保证和先决条件；（6）针对银北沿黄灌区盐渍土防治要求，明确暗管排水工程设计优化方案：吸水管间距35至45米、暗管埋深0.8至1.1米，且吸水管应埋置在当地冻深层以下。对于耕地中分布有弱透水层，结合农艺措施，需深翻打破排水障碍层。</w:t>
      </w:r>
    </w:p>
    <w:p>
      <w:pPr>
        <w:pStyle w:val="23"/>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综上，在本技术规程中的数据采集、设计方案、计算公式修正、参数选取和施工操作等基本规定与要求中均融入了规程编制组对相关工程实践总结、科研成果和实地监测数据的分析、凝练与验证。</w:t>
      </w:r>
      <w:bookmarkStart w:id="7" w:name="_GoBack"/>
      <w:bookmarkEnd w:id="7"/>
    </w:p>
    <w:p>
      <w:pPr>
        <w:pStyle w:val="23"/>
        <w:ind w:firstLine="643"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themeColor="text1"/>
          <w:sz w:val="32"/>
          <w:szCs w:val="32"/>
          <w:lang w:val="en-US" w:eastAsia="zh-CN"/>
        </w:rPr>
        <w:t>附：</w:t>
      </w:r>
      <w:r>
        <w:rPr>
          <w:rFonts w:hint="eastAsia" w:ascii="仿宋_GB2312" w:hAnsi="仿宋_GB2312" w:eastAsia="仿宋_GB2312" w:cs="仿宋_GB2312"/>
          <w:sz w:val="32"/>
          <w:szCs w:val="32"/>
          <w:lang w:val="en-US" w:eastAsia="zh-CN"/>
        </w:rPr>
        <w:t>相关主要研究课题。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国家自然科学基金项目：“明流冲刷与渗流潜蚀共同作用下土工袋固坡模式及应用研究”，编号：41462010。该项目主要针对宁夏引黄灌区农田排水沟道滑塌严重的问题，探索经济适用的土工新材料固坡模式，其中农田暗管排水技术是该项目研究内容之一。</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（2）宁夏农业综合开发办公室项目：“宁夏农业综合开发暗管排水工程运行现状情况调查研究”，项目编号：NXZX201501。</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（3）宁夏农业综合开发办公室项目：“宁夏农业综合开发暗管排水技术规程制定”，项目编号：NXZX201502。</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（4）宁夏自然科学基金重点项目“基于灌溉回归水再利用的农田排水暗管外包滤料结构型式及其界面渗流机理研究”项目编号：021AAC02006。 </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（5）农业综合开发中心项目：灵沙乡高标准农田建设暗管排水控盐效果监测，2024-2026 年。 </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六、重大意见分歧的处理依据</w:t>
      </w:r>
      <w:r>
        <w:rPr>
          <w:rFonts w:ascii="黑体" w:hAnsi="黑体" w:eastAsia="黑体" w:cs="黑体"/>
          <w:sz w:val="32"/>
          <w:szCs w:val="32"/>
        </w:rPr>
        <w:t>和结果</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起草小组通过多种形式、多种渠道，进行了充分的沟通交流，</w:t>
      </w:r>
      <w:r>
        <w:rPr>
          <w:rFonts w:hint="eastAsia" w:ascii="仿宋_GB2312" w:hAnsi="仿宋_GB2312" w:eastAsia="仿宋_GB2312" w:cs="仿宋_GB2312"/>
          <w:sz w:val="32"/>
          <w:szCs w:val="32"/>
          <w:lang w:val="en-US" w:eastAsia="zh-CN"/>
        </w:rPr>
        <w:t>一致认为编制暗管排水技术规程地方标准对指导和规范暗管排水工程行为具有重要意义和实际应用价值。</w:t>
      </w:r>
      <w:r>
        <w:rPr>
          <w:rFonts w:hint="eastAsia" w:ascii="仿宋_GB2312" w:hAnsi="仿宋_GB2312" w:eastAsia="仿宋_GB2312" w:cs="仿宋_GB2312"/>
          <w:sz w:val="32"/>
          <w:szCs w:val="32"/>
        </w:rPr>
        <w:t>在标准起草过程中，没有出现重大的分歧意见。</w:t>
      </w:r>
      <w:r>
        <w:rPr>
          <w:rFonts w:hint="eastAsia" w:ascii="仿宋_GB2312" w:hAnsi="仿宋_GB2312" w:eastAsia="仿宋_GB2312" w:cs="仿宋_GB2312"/>
          <w:sz w:val="32"/>
          <w:szCs w:val="32"/>
          <w:lang w:val="en-US" w:eastAsia="zh-CN"/>
        </w:rPr>
        <w:t>针对专家提出的一些技术细节问题均作了修改完善。</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七、实施</w:t>
      </w:r>
      <w:r>
        <w:rPr>
          <w:rFonts w:ascii="黑体" w:hAnsi="黑体" w:eastAsia="黑体" w:cs="黑体"/>
          <w:sz w:val="32"/>
          <w:szCs w:val="32"/>
        </w:rPr>
        <w:t>标准的措施及建议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本标准为规范宁夏</w:t>
      </w:r>
      <w:r>
        <w:rPr>
          <w:rFonts w:hint="eastAsia" w:ascii="仿宋_GB2312" w:hAnsi="仿宋_GB2312" w:eastAsia="仿宋_GB2312" w:cs="仿宋_GB2312"/>
          <w:sz w:val="32"/>
          <w:szCs w:val="32"/>
          <w:lang w:val="en-US" w:eastAsia="zh-CN"/>
        </w:rPr>
        <w:t>引黄灌区采用暗管排水措施进行盐碱地治理与改良</w:t>
      </w:r>
      <w:r>
        <w:rPr>
          <w:rFonts w:hint="eastAsia" w:ascii="仿宋_GB2312" w:hAnsi="仿宋_GB2312" w:eastAsia="仿宋_GB2312" w:cs="仿宋_GB2312"/>
          <w:sz w:val="32"/>
          <w:szCs w:val="32"/>
          <w:lang w:eastAsia="zh-CN"/>
        </w:rPr>
        <w:t>中</w:t>
      </w:r>
      <w:r>
        <w:rPr>
          <w:rFonts w:hint="eastAsia" w:ascii="仿宋_GB2312" w:hAnsi="仿宋_GB2312" w:eastAsia="仿宋_GB2312" w:cs="仿宋_GB2312"/>
          <w:sz w:val="32"/>
          <w:szCs w:val="32"/>
          <w:lang w:val="en-US" w:eastAsia="zh-CN"/>
        </w:rPr>
        <w:t>土壤调查与基础资料收集、工程规划、工程设计、工程施工、工程验收以及工程运行管理与维护等技术要点做出了明确的技术规范和要求，增强了标准的针对性、实用性和可操作性。目前暗管排水工程技术已在宁夏全区约200万亩盐碱耕地上应用，本标准的发布实施后，计划通过对基层农业工作者、技术人员、乡镇及国营农场管理人员开展技术培训、技术手册发放等措施，促进暗管排水技术在我区盐碱地治理和农业生产中大面积推广应用，继续推广应用面积可达100万亩以上。</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八、知识产权说明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本标准不涉及</w:t>
      </w:r>
      <w:r>
        <w:rPr>
          <w:rFonts w:hint="eastAsia" w:ascii="仿宋_GB2312" w:hAnsi="仿宋_GB2312" w:eastAsia="仿宋_GB2312" w:cs="仿宋_GB2312"/>
          <w:sz w:val="32"/>
          <w:szCs w:val="32"/>
          <w:lang w:val="en-US" w:eastAsia="zh-CN"/>
        </w:rPr>
        <w:t>知识产权纠纷</w:t>
      </w:r>
      <w:r>
        <w:rPr>
          <w:rFonts w:hint="eastAsia" w:ascii="仿宋_GB2312" w:hAnsi="仿宋_GB2312" w:eastAsia="仿宋_GB2312" w:cs="仿宋_GB2312"/>
          <w:sz w:val="32"/>
          <w:szCs w:val="32"/>
        </w:rPr>
        <w:t>。</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九、其他应说明的事项</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碱地治理水利工程技术规程第1部分：暗管排水》从暗管排水技术的基础数据收集与分析、工程规划、设计与关键参数的计算、工程施工、运行管理等各环节工程行为进行了约束和规范，为设计与施工企业和工程运行管理机构提供了技术遵循。当然，就盐碱地治理而言，水利工程措施（暗管排水工程）仅仅是治理措施的重要（关键）环节之一， 还需要与农业、农艺、生物措施相配合，需充分发挥综合治理的潜力和功效。</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虽然本技术规程还存在许多不足，但她是宁夏第一部暗管排水技术地方标准，凝结了我区农业综合开发几十年的工程经验和技术进步，</w:t>
      </w:r>
      <w:r>
        <w:rPr>
          <w:rFonts w:hint="eastAsia" w:ascii="仿宋_GB2312" w:hAnsi="仿宋_GB2312" w:eastAsia="仿宋_GB2312" w:cs="仿宋_GB2312"/>
          <w:sz w:val="32"/>
          <w:szCs w:val="32"/>
        </w:rPr>
        <w:t>对提升宁夏</w:t>
      </w:r>
      <w:r>
        <w:rPr>
          <w:rFonts w:hint="eastAsia" w:ascii="仿宋_GB2312" w:hAnsi="仿宋_GB2312" w:eastAsia="仿宋_GB2312" w:cs="仿宋_GB2312"/>
          <w:sz w:val="32"/>
          <w:szCs w:val="32"/>
          <w:lang w:val="en-US" w:eastAsia="zh-CN"/>
        </w:rPr>
        <w:t>引黄灌区农业灌溉与排水工程技术创新与高质量发展</w:t>
      </w:r>
      <w:r>
        <w:rPr>
          <w:rFonts w:hint="eastAsia" w:ascii="仿宋_GB2312" w:hAnsi="仿宋_GB2312" w:eastAsia="仿宋_GB2312" w:cs="仿宋_GB2312"/>
          <w:sz w:val="32"/>
          <w:szCs w:val="32"/>
        </w:rPr>
        <w:t>具有重要意义。</w:t>
      </w: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Calibri Light">
    <w:panose1 w:val="020F0302020204030204"/>
    <w:charset w:val="00"/>
    <w:family w:val="auto"/>
    <w:pitch w:val="default"/>
    <w:sig w:usb0="A00002EF" w:usb1="4000207B"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51D5AD36">
    <w:altName w:val="宋体"/>
    <w:panose1 w:val="020B0604020202020204"/>
    <w:charset w:val="86"/>
    <w:family w:val="auto"/>
    <w:pitch w:val="default"/>
    <w:sig w:usb0="00000000" w:usb1="00000000" w:usb2="00000000" w:usb3="00000000" w:csb0="00040001" w:csb1="00000000"/>
  </w:font>
  <w:font w:name="KSOFE44F9426">
    <w:altName w:val="宋体"/>
    <w:panose1 w:val="02010609060101010101"/>
    <w:charset w:val="86"/>
    <w:family w:val="auto"/>
    <w:pitch w:val="default"/>
    <w:sig w:usb0="00000000" w:usb1="00000000" w:usb2="00000000" w:usb3="00000000" w:csb0="00040001" w:csb1="00000000"/>
  </w:font>
  <w:font w:name="KSOFE4500885">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szCs w:val="24"/>
      </w:rPr>
    </w:pPr>
  </w:p>
  <w:p>
    <w:pPr>
      <w:pStyle w:val="4"/>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szCs w:val="24"/>
      </w:rPr>
    </w:pPr>
    <w:r>
      <w:rPr>
        <w:rFonts w:ascii="Calibri" w:hAnsi="Calibri" w:eastAsia="宋体" w:cs="黑体"/>
        <w:kern w:val="2"/>
        <w:sz w:val="24"/>
        <w:szCs w:val="24"/>
        <w:lang w:val="en-US" w:eastAsia="zh-CN" w:bidi="ar-SA"/>
      </w:rPr>
      <w:pict>
        <v:rect id="文本框 3" o:spid="_x0000_s4097"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rect>
      </w:pict>
    </w:r>
  </w:p>
  <w:p>
    <w:pPr>
      <w:pStyle w:val="4"/>
      <w:rPr>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27282981">
    <w:nsid w:val="6CEA2025"/>
    <w:multiLevelType w:val="multilevel"/>
    <w:tmpl w:val="6CEA2025"/>
    <w:lvl w:ilvl="0" w:tentative="1">
      <w:start w:val="1"/>
      <w:numFmt w:val="none"/>
      <w:pStyle w:val="19"/>
      <w:suff w:val="nothing"/>
      <w:lvlText w:val="%1"/>
      <w:lvlJc w:val="left"/>
      <w:pPr>
        <w:ind w:left="0" w:firstLine="0"/>
      </w:pPr>
      <w:rPr>
        <w:rFonts w:hint="eastAsia"/>
      </w:rPr>
    </w:lvl>
    <w:lvl w:ilvl="1" w:tentative="1">
      <w:start w:val="1"/>
      <w:numFmt w:val="decimal"/>
      <w:pStyle w:val="17"/>
      <w:suff w:val="nothing"/>
      <w:lvlText w:val="%1%2　"/>
      <w:lvlJc w:val="left"/>
      <w:pPr>
        <w:ind w:left="0" w:firstLine="0"/>
      </w:pPr>
      <w:rPr>
        <w:rFonts w:hint="eastAsia" w:ascii="黑体" w:eastAsia="黑体"/>
        <w:b w:val="0"/>
        <w:i w:val="0"/>
        <w:sz w:val="21"/>
      </w:rPr>
    </w:lvl>
    <w:lvl w:ilvl="2" w:tentative="1">
      <w:start w:val="1"/>
      <w:numFmt w:val="decimal"/>
      <w:pStyle w:val="1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color w:val="000000"/>
        <w:spacing w:val="0"/>
        <w:kern w:val="0"/>
        <w:position w:val="0"/>
        <w:sz w:val="21"/>
        <w:u w:val="none"/>
      </w:rPr>
    </w:lvl>
    <w:lvl w:ilvl="3" w:tentative="1">
      <w:start w:val="1"/>
      <w:numFmt w:val="decimal"/>
      <w:pStyle w:val="13"/>
      <w:suff w:val="nothing"/>
      <w:lvlText w:val="%1%2.%3.%4　"/>
      <w:lvlJc w:val="left"/>
      <w:pPr>
        <w:ind w:left="0" w:firstLine="0"/>
      </w:pPr>
      <w:rPr>
        <w:rFonts w:hint="eastAsia" w:ascii="黑体" w:eastAsia="黑体"/>
        <w:b w:val="0"/>
        <w:i w:val="0"/>
        <w:sz w:val="21"/>
      </w:rPr>
    </w:lvl>
    <w:lvl w:ilvl="4" w:tentative="1">
      <w:start w:val="1"/>
      <w:numFmt w:val="decimal"/>
      <w:pStyle w:val="14"/>
      <w:suff w:val="nothing"/>
      <w:lvlText w:val="%1%2.%3.%4.%5　"/>
      <w:lvlJc w:val="left"/>
      <w:pPr>
        <w:ind w:left="0" w:firstLine="0"/>
      </w:pPr>
      <w:rPr>
        <w:rFonts w:hint="eastAsia" w:ascii="黑体" w:eastAsia="黑体"/>
        <w:b w:val="0"/>
        <w:i w:val="0"/>
        <w:sz w:val="21"/>
      </w:rPr>
    </w:lvl>
    <w:lvl w:ilvl="5" w:tentative="1">
      <w:start w:val="1"/>
      <w:numFmt w:val="decimal"/>
      <w:pStyle w:val="15"/>
      <w:suff w:val="nothing"/>
      <w:lvlText w:val="%1%2.%3.%4.%5.%6　"/>
      <w:lvlJc w:val="left"/>
      <w:pPr>
        <w:ind w:left="0" w:firstLine="0"/>
      </w:pPr>
      <w:rPr>
        <w:rFonts w:hint="eastAsia" w:ascii="黑体" w:eastAsia="黑体"/>
        <w:b w:val="0"/>
        <w:i w:val="0"/>
        <w:sz w:val="21"/>
      </w:rPr>
    </w:lvl>
    <w:lvl w:ilvl="6" w:tentative="1">
      <w:start w:val="1"/>
      <w:numFmt w:val="decimal"/>
      <w:pStyle w:val="16"/>
      <w:suff w:val="nothing"/>
      <w:lvlText w:val="%1%2.%3.%4.%5.%6.%7　"/>
      <w:lvlJc w:val="left"/>
      <w:pPr>
        <w:ind w:left="0" w:firstLine="0"/>
      </w:pPr>
      <w:rPr>
        <w:rFonts w:hint="eastAsia" w:ascii="黑体"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153765264">
    <w:nsid w:val="44C50F90"/>
    <w:multiLevelType w:val="multilevel"/>
    <w:tmpl w:val="44C50F90"/>
    <w:lvl w:ilvl="0" w:tentative="1">
      <w:start w:val="1"/>
      <w:numFmt w:val="lowerLetter"/>
      <w:pStyle w:val="22"/>
      <w:lvlText w:val="%1)"/>
      <w:lvlJc w:val="left"/>
      <w:pPr>
        <w:tabs>
          <w:tab w:val="left" w:pos="851"/>
        </w:tabs>
        <w:ind w:left="851" w:hanging="426"/>
      </w:pPr>
      <w:rPr>
        <w:rFonts w:hint="eastAsia" w:ascii="宋体" w:hAnsi="Times New Roman" w:eastAsia="宋体"/>
        <w:sz w:val="21"/>
      </w:rPr>
    </w:lvl>
    <w:lvl w:ilvl="1" w:tentative="1">
      <w:start w:val="1"/>
      <w:numFmt w:val="decimal"/>
      <w:pStyle w:val="20"/>
      <w:lvlText w:val="%2)"/>
      <w:lvlJc w:val="left"/>
      <w:pPr>
        <w:tabs>
          <w:tab w:val="left" w:pos="1276"/>
        </w:tabs>
        <w:ind w:left="1276" w:hanging="425"/>
      </w:pPr>
      <w:rPr>
        <w:rFonts w:hint="eastAsia" w:ascii="宋体" w:hAnsi="Times New Roman" w:eastAsia="宋体"/>
        <w:sz w:val="21"/>
      </w:rPr>
    </w:lvl>
    <w:lvl w:ilvl="2" w:tentative="1">
      <w:start w:val="1"/>
      <w:numFmt w:val="decimal"/>
      <w:pStyle w:val="21"/>
      <w:lvlText w:val="(%3)"/>
      <w:lvlJc w:val="left"/>
      <w:pPr>
        <w:ind w:left="1701" w:hanging="425"/>
      </w:pPr>
      <w:rPr>
        <w:rFonts w:hint="eastAsia" w:ascii="宋体" w:hAnsi="Times New Roman" w:eastAsia="宋体"/>
        <w:sz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num w:numId="1">
    <w:abstractNumId w:val="1827282981"/>
  </w:num>
  <w:num w:numId="2">
    <w:abstractNumId w:val="11537652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00866886"/>
    <w:rsid w:val="01A324E9"/>
    <w:rsid w:val="04504BAA"/>
    <w:rsid w:val="05E26DDA"/>
    <w:rsid w:val="065A67B0"/>
    <w:rsid w:val="070E2AFA"/>
    <w:rsid w:val="09645E0F"/>
    <w:rsid w:val="0DB7532F"/>
    <w:rsid w:val="0EC420D6"/>
    <w:rsid w:val="13E50D3B"/>
    <w:rsid w:val="187B6F0B"/>
    <w:rsid w:val="1933132A"/>
    <w:rsid w:val="1C176AF2"/>
    <w:rsid w:val="248F1CDE"/>
    <w:rsid w:val="25271E13"/>
    <w:rsid w:val="291A7622"/>
    <w:rsid w:val="2B281B75"/>
    <w:rsid w:val="2B9F641C"/>
    <w:rsid w:val="31E66938"/>
    <w:rsid w:val="3307261C"/>
    <w:rsid w:val="33512F0A"/>
    <w:rsid w:val="340F73B6"/>
    <w:rsid w:val="38845AE5"/>
    <w:rsid w:val="3E4800C5"/>
    <w:rsid w:val="406E77BE"/>
    <w:rsid w:val="41EF147D"/>
    <w:rsid w:val="43F93D2D"/>
    <w:rsid w:val="4555679A"/>
    <w:rsid w:val="46F00DEC"/>
    <w:rsid w:val="4B786607"/>
    <w:rsid w:val="4C79769B"/>
    <w:rsid w:val="4DFE0C8B"/>
    <w:rsid w:val="51A77B15"/>
    <w:rsid w:val="51FE3331"/>
    <w:rsid w:val="52256B35"/>
    <w:rsid w:val="55841DAE"/>
    <w:rsid w:val="560B435E"/>
    <w:rsid w:val="59C610C2"/>
    <w:rsid w:val="5A0C7DA1"/>
    <w:rsid w:val="5DC6470A"/>
    <w:rsid w:val="5E886AC4"/>
    <w:rsid w:val="651348A0"/>
    <w:rsid w:val="67AE3577"/>
    <w:rsid w:val="69555835"/>
    <w:rsid w:val="6FAE6BA4"/>
    <w:rsid w:val="703F1360"/>
    <w:rsid w:val="746B767F"/>
    <w:rsid w:val="748C693E"/>
    <w:rsid w:val="75A45835"/>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Lines="200" w:afterLines="100" w:line="600" w:lineRule="exact"/>
      <w:jc w:val="center"/>
      <w:outlineLvl w:val="0"/>
    </w:pPr>
    <w:rPr>
      <w:rFonts w:ascii="Calibri" w:hAnsi="Calibri" w:eastAsia="方正小标宋简体" w:cs="Times New Roman"/>
      <w:kern w:val="44"/>
      <w:sz w:val="44"/>
    </w:rPr>
  </w:style>
  <w:style w:type="paragraph" w:styleId="3">
    <w:name w:val="heading 2"/>
    <w:basedOn w:val="1"/>
    <w:next w:val="1"/>
    <w:link w:val="26"/>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25"/>
    <w:qFormat/>
    <w:uiPriority w:val="99"/>
    <w:pPr>
      <w:tabs>
        <w:tab w:val="center" w:pos="4153"/>
        <w:tab w:val="right" w:pos="8306"/>
      </w:tabs>
      <w:snapToGrid w:val="0"/>
      <w:jc w:val="left"/>
    </w:pPr>
    <w:rPr>
      <w:sz w:val="18"/>
      <w:szCs w:val="18"/>
    </w:rPr>
  </w:style>
  <w:style w:type="paragraph" w:styleId="5">
    <w:name w:val="header"/>
    <w:basedOn w:val="1"/>
    <w:link w:val="24"/>
    <w:qFormat/>
    <w:uiPriority w:val="0"/>
    <w:pPr>
      <w:tabs>
        <w:tab w:val="center" w:pos="4153"/>
        <w:tab w:val="right" w:pos="8306"/>
      </w:tabs>
      <w:snapToGrid w:val="0"/>
      <w:jc w:val="center"/>
    </w:pPr>
    <w:rPr>
      <w:sz w:val="18"/>
      <w:szCs w:val="18"/>
    </w:rPr>
  </w:style>
  <w:style w:type="paragraph" w:styleId="6">
    <w:name w:val="HTML Preformatted"/>
    <w:basedOn w:val="1"/>
    <w:link w:val="30"/>
    <w:qFormat/>
    <w:uiPriority w:val="0"/>
    <w:rPr>
      <w:rFonts w:ascii="Courier New" w:hAnsi="Courier New" w:cs="Courier New"/>
      <w:sz w:val="20"/>
      <w:szCs w:val="20"/>
    </w:rPr>
  </w:style>
  <w:style w:type="paragraph" w:styleId="7">
    <w:name w:val="Title"/>
    <w:basedOn w:val="1"/>
    <w:next w:val="1"/>
    <w:link w:val="29"/>
    <w:qFormat/>
    <w:uiPriority w:val="0"/>
    <w:pPr>
      <w:spacing w:before="240" w:after="60"/>
      <w:jc w:val="center"/>
      <w:outlineLvl w:val="0"/>
    </w:pPr>
    <w:rPr>
      <w:rFonts w:ascii="Calibri Light" w:hAnsi="Calibri Light" w:eastAsia="宋体" w:cs="黑体"/>
      <w:b/>
      <w:bCs/>
      <w:sz w:val="32"/>
      <w:szCs w:val="32"/>
    </w:rPr>
  </w:style>
  <w:style w:type="character" w:styleId="9">
    <w:name w:val="Strong"/>
    <w:basedOn w:val="8"/>
    <w:qFormat/>
    <w:uiPriority w:val="0"/>
    <w:rPr>
      <w:b/>
      <w:bCs/>
    </w:rPr>
  </w:style>
  <w:style w:type="paragraph" w:customStyle="1" w:styleId="11">
    <w:name w:val="标准文件_段"/>
    <w:link w:val="2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段"/>
    <w:link w:val="2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标准文件_二级条标题"/>
    <w:next w:val="11"/>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14">
    <w:name w:val="标准文件_三级条标题"/>
    <w:basedOn w:val="13"/>
    <w:next w:val="11"/>
    <w:qFormat/>
    <w:uiPriority w:val="0"/>
    <w:pPr>
      <w:widowControl/>
      <w:numPr>
        <w:ilvl w:val="4"/>
        <w:numId w:val="1"/>
      </w:numPr>
      <w:ind w:left="2620" w:hanging="440"/>
      <w:outlineLvl w:val="3"/>
    </w:pPr>
  </w:style>
  <w:style w:type="paragraph" w:customStyle="1" w:styleId="15">
    <w:name w:val="标准文件_四级条标题"/>
    <w:next w:val="11"/>
    <w:qFormat/>
    <w:uiPriority w:val="0"/>
    <w:pPr>
      <w:widowControl w:val="0"/>
      <w:numPr>
        <w:ilvl w:val="5"/>
        <w:numId w:val="1"/>
      </w:numPr>
      <w:spacing w:beforeLines="50" w:afterLines="50"/>
      <w:ind w:left="3060" w:hanging="440"/>
      <w:jc w:val="both"/>
      <w:outlineLvl w:val="4"/>
    </w:pPr>
    <w:rPr>
      <w:rFonts w:ascii="黑体" w:hAnsi="Times New Roman" w:eastAsia="黑体" w:cs="Times New Roman"/>
      <w:sz w:val="21"/>
      <w:lang w:val="en-US" w:eastAsia="zh-CN" w:bidi="ar-SA"/>
    </w:rPr>
  </w:style>
  <w:style w:type="paragraph" w:customStyle="1" w:styleId="16">
    <w:name w:val="标准文件_五级条标题"/>
    <w:next w:val="11"/>
    <w:qFormat/>
    <w:uiPriority w:val="0"/>
    <w:pPr>
      <w:widowControl w:val="0"/>
      <w:numPr>
        <w:ilvl w:val="6"/>
        <w:numId w:val="1"/>
      </w:numPr>
      <w:spacing w:beforeLines="50" w:afterLines="50"/>
      <w:ind w:left="3500" w:hanging="440"/>
      <w:jc w:val="both"/>
      <w:outlineLvl w:val="5"/>
    </w:pPr>
    <w:rPr>
      <w:rFonts w:ascii="黑体" w:hAnsi="Times New Roman" w:eastAsia="黑体" w:cs="Times New Roman"/>
      <w:sz w:val="21"/>
      <w:lang w:val="en-US" w:eastAsia="zh-CN" w:bidi="ar-SA"/>
    </w:rPr>
  </w:style>
  <w:style w:type="paragraph" w:customStyle="1" w:styleId="17">
    <w:name w:val="标准文件_章标题"/>
    <w:next w:val="11"/>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8">
    <w:name w:val="标准文件_一级条标题"/>
    <w:basedOn w:val="17"/>
    <w:next w:val="11"/>
    <w:qFormat/>
    <w:uiPriority w:val="0"/>
    <w:pPr>
      <w:numPr>
        <w:ilvl w:val="2"/>
        <w:numId w:val="1"/>
      </w:numPr>
      <w:spacing w:beforeLines="50" w:afterLines="50"/>
      <w:ind w:left="1740" w:hanging="440"/>
      <w:outlineLvl w:val="1"/>
    </w:pPr>
  </w:style>
  <w:style w:type="paragraph" w:customStyle="1" w:styleId="19">
    <w:name w:val="前言标题"/>
    <w:next w:val="1"/>
    <w:qFormat/>
    <w:uiPriority w:val="0"/>
    <w:pPr>
      <w:numPr>
        <w:ilvl w:val="0"/>
        <w:numId w:val="1"/>
      </w:numPr>
      <w:shd w:val="clear" w:color="FFFFFF" w:fill="FFFFFF"/>
      <w:spacing w:before="540" w:after="600"/>
      <w:ind w:left="780" w:hanging="360"/>
      <w:jc w:val="center"/>
      <w:outlineLvl w:val="0"/>
    </w:pPr>
    <w:rPr>
      <w:rFonts w:ascii="黑体" w:hAnsi="Times New Roman" w:eastAsia="黑体" w:cs="Times New Roman"/>
      <w:sz w:val="32"/>
      <w:lang w:val="en-US" w:eastAsia="zh-CN" w:bidi="ar-SA"/>
    </w:rPr>
  </w:style>
  <w:style w:type="paragraph" w:customStyle="1" w:styleId="20">
    <w:name w:val="标准文件_数字编号列项（二级）"/>
    <w:qFormat/>
    <w:uiPriority w:val="0"/>
    <w:pPr>
      <w:numPr>
        <w:ilvl w:val="1"/>
        <w:numId w:val="2"/>
      </w:numPr>
      <w:tabs>
        <w:tab w:val="left" w:pos="851"/>
      </w:tabs>
      <w:jc w:val="both"/>
    </w:pPr>
    <w:rPr>
      <w:rFonts w:ascii="宋体" w:hAnsi="Times New Roman" w:eastAsia="宋体" w:cs="Times New Roman"/>
      <w:sz w:val="21"/>
      <w:lang w:val="en-US" w:eastAsia="zh-CN" w:bidi="ar-SA"/>
    </w:rPr>
  </w:style>
  <w:style w:type="paragraph" w:customStyle="1" w:styleId="21">
    <w:name w:val="标准文件_编号列项（三级）"/>
    <w:qFormat/>
    <w:uiPriority w:val="0"/>
    <w:pPr>
      <w:numPr>
        <w:ilvl w:val="2"/>
        <w:numId w:val="2"/>
      </w:numPr>
      <w:tabs>
        <w:tab w:val="left" w:pos="851"/>
      </w:tabs>
    </w:pPr>
    <w:rPr>
      <w:rFonts w:ascii="宋体" w:hAnsi="Times New Roman" w:eastAsia="宋体" w:cs="Times New Roman"/>
      <w:sz w:val="21"/>
      <w:lang w:val="en-US" w:eastAsia="zh-CN" w:bidi="ar-SA"/>
    </w:rPr>
  </w:style>
  <w:style w:type="paragraph" w:customStyle="1" w:styleId="22">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2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
    <w:name w:val="页眉 字符"/>
    <w:basedOn w:val="8"/>
    <w:link w:val="5"/>
    <w:qFormat/>
    <w:uiPriority w:val="0"/>
    <w:rPr>
      <w:kern w:val="2"/>
      <w:sz w:val="18"/>
      <w:szCs w:val="18"/>
    </w:rPr>
  </w:style>
  <w:style w:type="character" w:customStyle="1" w:styleId="25">
    <w:name w:val="页脚 字符"/>
    <w:basedOn w:val="8"/>
    <w:link w:val="4"/>
    <w:qFormat/>
    <w:uiPriority w:val="99"/>
    <w:rPr>
      <w:kern w:val="2"/>
      <w:sz w:val="18"/>
      <w:szCs w:val="18"/>
    </w:rPr>
  </w:style>
  <w:style w:type="character" w:customStyle="1" w:styleId="26">
    <w:name w:val="标题 2 字符"/>
    <w:basedOn w:val="8"/>
    <w:link w:val="3"/>
    <w:qFormat/>
    <w:uiPriority w:val="0"/>
    <w:rPr>
      <w:rFonts w:ascii="宋体" w:hAnsi="宋体" w:eastAsia="宋体" w:cs="Times New Roman"/>
      <w:b/>
      <w:sz w:val="36"/>
      <w:szCs w:val="36"/>
    </w:rPr>
  </w:style>
  <w:style w:type="character" w:customStyle="1" w:styleId="27">
    <w:name w:val="标准文件_段 Char"/>
    <w:link w:val="11"/>
    <w:qFormat/>
    <w:uiPriority w:val="0"/>
    <w:rPr>
      <w:rFonts w:ascii="宋体" w:hAnsi="Times New Roman" w:eastAsia="宋体" w:cs="Times New Roman"/>
      <w:sz w:val="21"/>
    </w:rPr>
  </w:style>
  <w:style w:type="character" w:customStyle="1" w:styleId="28">
    <w:name w:val="段 Char"/>
    <w:basedOn w:val="8"/>
    <w:link w:val="12"/>
    <w:qFormat/>
    <w:uiPriority w:val="0"/>
    <w:rPr>
      <w:rFonts w:ascii="宋体" w:hAnsi="Times New Roman" w:eastAsia="宋体" w:cs="Times New Roman"/>
      <w:sz w:val="21"/>
    </w:rPr>
  </w:style>
  <w:style w:type="character" w:customStyle="1" w:styleId="29">
    <w:name w:val="标题 字符"/>
    <w:link w:val="7"/>
    <w:qFormat/>
    <w:uiPriority w:val="0"/>
    <w:rPr>
      <w:rFonts w:ascii="Calibri Light" w:hAnsi="Calibri Light" w:eastAsia="宋体" w:cs="黑体"/>
      <w:b/>
      <w:bCs/>
      <w:kern w:val="2"/>
      <w:sz w:val="32"/>
      <w:szCs w:val="32"/>
    </w:rPr>
  </w:style>
  <w:style w:type="character" w:customStyle="1" w:styleId="30">
    <w:name w:val="HTML 预设格式 字符"/>
    <w:basedOn w:val="8"/>
    <w:link w:val="6"/>
    <w:qFormat/>
    <w:uiPriority w:val="0"/>
    <w:rPr>
      <w:rFonts w:ascii="Courier New" w:hAnsi="Courier New" w:cs="Courier New"/>
      <w:kern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5437</Words>
  <Characters>5626</Characters>
  <Lines>28</Lines>
  <Paragraphs>7</Paragraphs>
  <ScaleCrop>false</ScaleCrop>
  <LinksUpToDate>false</LinksUpToDate>
  <CharactersWithSpaces>5651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2026-01-22T07:17:00Z</dcterms:created>
  <dc:creator>张建光</dc:creator>
  <cp:lastModifiedBy>Victor</cp:lastModifiedBy>
  <dcterms:modified xsi:type="dcterms:W3CDTF">2026-03-11T06:03:37Z</dcterms:modified>
  <dc:title>盐碱地治理水利工程技术规程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y fmtid="{D5CDD505-2E9C-101B-9397-08002B2CF9AE}" pid="3" name="ICV">
    <vt:lpwstr>171B6692F82E41BCAF1AE6E1BE3A05CF_12</vt:lpwstr>
  </property>
  <property fmtid="{D5CDD505-2E9C-101B-9397-08002B2CF9AE}" pid="4" name="KSOTemplateDocerSaveRecord">
    <vt:lpwstr>eyJoZGlkIjoiOGFhZTI5MDhiMmI2MWY5MWM5NTU4ODFlNDFmZjI0OGEiLCJ1c2VySWQiOiI4OTE2MDA1NzUifQ==</vt:lpwstr>
  </property>
</Properties>
</file>